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Załącznik Nr 2</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proofErr w:type="gramStart"/>
      <w:r>
        <w:rPr>
          <w:sz w:val="20"/>
          <w:szCs w:val="20"/>
        </w:rPr>
        <w:t>do</w:t>
      </w:r>
      <w:proofErr w:type="gramEnd"/>
      <w:r>
        <w:rPr>
          <w:sz w:val="20"/>
          <w:szCs w:val="20"/>
        </w:rPr>
        <w:t xml:space="preserve"> uchwały Nr XXIII/148/2016</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 xml:space="preserve">Rady Gminy </w:t>
      </w:r>
      <w:r w:rsidR="00C30776">
        <w:rPr>
          <w:sz w:val="20"/>
          <w:szCs w:val="20"/>
        </w:rPr>
        <w:t>Boleszkowice</w:t>
      </w:r>
      <w:bookmarkStart w:id="0" w:name="_GoBack"/>
      <w:bookmarkEnd w:id="0"/>
      <w:r>
        <w:rPr>
          <w:sz w:val="20"/>
          <w:szCs w:val="20"/>
        </w:rPr>
        <w:t xml:space="preserve"> </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proofErr w:type="gramStart"/>
      <w:r>
        <w:rPr>
          <w:sz w:val="20"/>
          <w:szCs w:val="20"/>
        </w:rPr>
        <w:t>z</w:t>
      </w:r>
      <w:proofErr w:type="gramEnd"/>
      <w:r>
        <w:rPr>
          <w:sz w:val="20"/>
          <w:szCs w:val="20"/>
        </w:rPr>
        <w:t xml:space="preserve"> dnia 29 grudnia 2016 roku </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center"/>
        <w:rPr>
          <w:sz w:val="20"/>
          <w:szCs w:val="20"/>
        </w:rPr>
      </w:pPr>
      <w:r>
        <w:rPr>
          <w:b/>
          <w:bCs/>
          <w:sz w:val="20"/>
          <w:szCs w:val="20"/>
        </w:rPr>
        <w:t>UZASADNIENIE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center"/>
        <w:rPr>
          <w:sz w:val="20"/>
          <w:szCs w:val="20"/>
        </w:rPr>
      </w:pPr>
      <w:r>
        <w:rPr>
          <w:b/>
          <w:bCs/>
          <w:sz w:val="20"/>
          <w:szCs w:val="20"/>
        </w:rPr>
        <w:t>Objaśnienia przyjętych wartości do Wieloletniej Prognozy Finansowej Gminy Boleszkowice na lata 2017-2024.</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 xml:space="preserve">W Wieloletniej Prognozie Finansowej Gminy Boleszkowice zastosowano wzory załączników (załącznik nr 1 oraz załącznik nr 2 do uchwały) zgodnie z Rozporządzeniem Ministra Finansów z dnia 8 sierpnia 2014 roku zmieniającym rozporządzenie w sprawie wieloletniej prognozy finansowej jednostki samorządu terytorialnego z dnia 10 stycznia 2013 roku (Dz. U. </w:t>
      </w:r>
      <w:proofErr w:type="gramStart"/>
      <w:r>
        <w:rPr>
          <w:sz w:val="20"/>
          <w:szCs w:val="20"/>
        </w:rPr>
        <w:t>z</w:t>
      </w:r>
      <w:proofErr w:type="gramEnd"/>
      <w:r>
        <w:rPr>
          <w:sz w:val="20"/>
          <w:szCs w:val="20"/>
        </w:rPr>
        <w:t> 2014 r. poz. 1127).</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Podstawą opracowania Wieloletniej Prognozy Finansowej Gminy Boleszkowice jest projekt uchwały budżetowej na 2017 rok, dane sprawozdawcze z wykonania budżetu Gminy Boleszkowice za lata 2014 i 2015, wartości planowane na koniec III kwartału 2016 roku oraz wytyczne Ministra Finansów dotyczące założeń makroekonomicznych dla potrzeb sporządzania wieloletnich prognoz finansowych jednostek samorządu terytorialnego.</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Art. 227 ust. 1 ustawy z dnia 27 sierpnia 2009 roku o finansach publicznych (</w:t>
      </w:r>
      <w:proofErr w:type="spellStart"/>
      <w:r>
        <w:rPr>
          <w:sz w:val="20"/>
          <w:szCs w:val="20"/>
        </w:rPr>
        <w:t>t.j</w:t>
      </w:r>
      <w:proofErr w:type="spellEnd"/>
      <w:r>
        <w:rPr>
          <w:sz w:val="20"/>
          <w:szCs w:val="20"/>
        </w:rPr>
        <w:t xml:space="preserve">. Dz. U. </w:t>
      </w:r>
      <w:proofErr w:type="gramStart"/>
      <w:r>
        <w:rPr>
          <w:sz w:val="20"/>
          <w:szCs w:val="20"/>
        </w:rPr>
        <w:t>z</w:t>
      </w:r>
      <w:proofErr w:type="gramEnd"/>
      <w:r>
        <w:rPr>
          <w:sz w:val="20"/>
          <w:szCs w:val="20"/>
        </w:rPr>
        <w:t> 2016 r. poz. 1870 z </w:t>
      </w:r>
      <w:proofErr w:type="spellStart"/>
      <w:r>
        <w:rPr>
          <w:sz w:val="20"/>
          <w:szCs w:val="20"/>
        </w:rPr>
        <w:t>późn</w:t>
      </w:r>
      <w:proofErr w:type="spellEnd"/>
      <w:r>
        <w:rPr>
          <w:sz w:val="20"/>
          <w:szCs w:val="20"/>
        </w:rPr>
        <w:t xml:space="preserve">. </w:t>
      </w:r>
      <w:proofErr w:type="gramStart"/>
      <w:r>
        <w:rPr>
          <w:sz w:val="20"/>
          <w:szCs w:val="20"/>
        </w:rPr>
        <w:t>zm</w:t>
      </w:r>
      <w:proofErr w:type="gramEnd"/>
      <w:r>
        <w:rPr>
          <w:sz w:val="20"/>
          <w:szCs w:val="20"/>
        </w:rPr>
        <w:t>.)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2024. W związku z powyższym, Wieloletnia Prognoza Finansowa Gminy Boleszkowice została przygotowana na lata 2017-2024.</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Kwoty wydatków wynikające z limitów wydatków na przedsięwzięcia nie wykraczają poza okres prognozy kwoty długu. Nie planuje się także wydatków z tytułu niewymagalnych poręczeń i gwarancji, które przekraczałyby okres prognozy kwoty długu.</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b/>
          <w:bCs/>
          <w:sz w:val="20"/>
          <w:szCs w:val="20"/>
        </w:rPr>
        <w:t>1. Założenia makroekonomiczne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Przy opracowaniu prognozy pozycji budżetowych Gminy Boleszkowice wykorzystano dwa podstawowe mierniki koniunktury gospodarczej – produkt krajowy brutto (PKB) oraz wskaźnik inflacji (CPI). Na ich podstawie oszacowano wartości dochodów i wydatków Gminy Boleszkowice, co dzięki konstrukcji i zaawansowanym metodom dokonywania obliczeń, pozwoli realizować w przyszłości właściwą politykę finansową jednostki.</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Zgodnie z zaleceniami Ministra Finansów prognozę wskazanych mierników oparto o Wytyczne dotyczące założeń makroekonomicznych na potrzeby wieloletnich prognoz finansowych jednostek samorządu terytorialnego. Ostatnia dostępna aktualizacja ww. wytycznych miała miejsce 5 października 2016 roku, a dane wynikające z powołanego dokumentu prezentuje tabela 1.</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Prognozę oparto o następujące założenia:</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sz w:val="20"/>
          <w:szCs w:val="20"/>
        </w:rPr>
        <w:tab/>
      </w:r>
      <w:proofErr w:type="gramStart"/>
      <w:r>
        <w:rPr>
          <w:sz w:val="20"/>
          <w:szCs w:val="20"/>
        </w:rPr>
        <w:t>1) dla</w:t>
      </w:r>
      <w:proofErr w:type="gramEnd"/>
      <w:r>
        <w:rPr>
          <w:sz w:val="20"/>
          <w:szCs w:val="20"/>
        </w:rPr>
        <w:t xml:space="preserve"> roku 2017 przyjęto wartości wynikające z projektu budżetu;</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lastRenderedPageBreak/>
        <w:tab/>
      </w:r>
      <w:proofErr w:type="gramStart"/>
      <w:r>
        <w:rPr>
          <w:sz w:val="20"/>
          <w:szCs w:val="20"/>
        </w:rPr>
        <w:t>2) dla</w:t>
      </w:r>
      <w:proofErr w:type="gramEnd"/>
      <w:r>
        <w:rPr>
          <w:sz w:val="20"/>
          <w:szCs w:val="20"/>
        </w:rPr>
        <w:t xml:space="preserve"> lat 2018-2024 prognozę wykonano poprzez indeksację o wskaźniki dynamiki inflacji oraz dynamiki PKB.</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Podzielenie prognozy w powyższy sposób pozwala na realną ocenę możliwości inwestycyjno-kredytowych gminy.</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0"/>
          <w:szCs w:val="20"/>
        </w:rPr>
      </w:pPr>
      <w:r>
        <w:rPr>
          <w:b/>
          <w:bCs/>
          <w:sz w:val="20"/>
          <w:szCs w:val="20"/>
        </w:rPr>
        <w:t>Tabela 1. Dane makroekonomiczne przyjęte do wyliczeń prognozy</w:t>
      </w:r>
    </w:p>
    <w:tbl>
      <w:tblPr>
        <w:tblW w:w="0" w:type="auto"/>
        <w:tblInd w:w="-5" w:type="dxa"/>
        <w:tblLayout w:type="fixed"/>
        <w:tblCellMar>
          <w:left w:w="10" w:type="dxa"/>
          <w:right w:w="10" w:type="dxa"/>
        </w:tblCellMar>
        <w:tblLook w:val="0000" w:firstRow="0" w:lastRow="0" w:firstColumn="0" w:lastColumn="0" w:noHBand="0" w:noVBand="0"/>
      </w:tblPr>
      <w:tblGrid>
        <w:gridCol w:w="1070"/>
        <w:gridCol w:w="1070"/>
        <w:gridCol w:w="1070"/>
        <w:gridCol w:w="1070"/>
        <w:gridCol w:w="1070"/>
        <w:gridCol w:w="1070"/>
        <w:gridCol w:w="1070"/>
        <w:gridCol w:w="1070"/>
      </w:tblGrid>
      <w:tr w:rsidR="00500E2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Wskaźnik</w:t>
            </w:r>
          </w:p>
        </w:t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2017</w:t>
            </w:r>
          </w:p>
        </w:t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2018</w:t>
            </w:r>
          </w:p>
        </w:t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2019</w:t>
            </w:r>
          </w:p>
        </w:t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2020</w:t>
            </w:r>
          </w:p>
        </w:t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2021</w:t>
            </w:r>
          </w:p>
        </w:t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2022</w:t>
            </w:r>
          </w:p>
        </w:t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2023</w:t>
            </w:r>
          </w:p>
        </w:tc>
      </w:tr>
      <w:tr w:rsidR="00500E2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b/>
                <w:bCs/>
                <w:sz w:val="20"/>
                <w:szCs w:val="20"/>
              </w:rPr>
              <w:t>PKB</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3,90%</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4,00%</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4,00%</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3,80%</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3,70%</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3,40%</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3,20%</w:t>
            </w:r>
          </w:p>
        </w:tc>
      </w:tr>
      <w:tr w:rsidR="00500E2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b/>
                <w:bCs/>
                <w:sz w:val="20"/>
                <w:szCs w:val="20"/>
              </w:rPr>
              <w:t>Inflacja</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2,10%</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2,50%</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2,40%</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2,40%</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2,40%</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2,40%</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2,30%</w:t>
            </w:r>
          </w:p>
        </w:tc>
      </w:tr>
      <w:tr w:rsidR="00500E2C" w:rsidTr="00500E2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Wskaźnik</w:t>
            </w:r>
          </w:p>
        </w:t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2024</w:t>
            </w:r>
          </w:p>
        </w:tc>
        <w:tc>
          <w:tcPr>
            <w:tcW w:w="6420" w:type="dxa"/>
            <w:gridSpan w:val="6"/>
            <w:vMerge w:val="restart"/>
            <w:tcBorders>
              <w:top w:val="single" w:sz="4" w:space="0" w:color="auto"/>
              <w:left w:val="single" w:sz="4" w:space="0" w:color="auto"/>
              <w:bottom w:val="nil"/>
              <w:right w:val="nil"/>
            </w:tcBorders>
            <w:tcMar>
              <w:right w:w="0" w:type="dxa"/>
            </w:tcMar>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p>
        </w:tc>
      </w:tr>
      <w:tr w:rsidR="00500E2C" w:rsidTr="00500E2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b/>
                <w:bCs/>
                <w:sz w:val="20"/>
                <w:szCs w:val="20"/>
              </w:rPr>
              <w:t>PKB</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3,10%</w:t>
            </w:r>
          </w:p>
        </w:tc>
        <w:tc>
          <w:tcPr>
            <w:tcW w:w="1070" w:type="dxa"/>
            <w:gridSpan w:val="6"/>
            <w:vMerge/>
            <w:tcBorders>
              <w:top w:val="nil"/>
              <w:left w:val="single" w:sz="4" w:space="0" w:color="auto"/>
              <w:bottom w:val="single" w:sz="4" w:space="0" w:color="auto"/>
              <w:right w:val="nil"/>
            </w:tcBorders>
            <w:tcMar>
              <w:right w:w="0" w:type="dxa"/>
            </w:tcMar>
          </w:tcPr>
          <w:p w:rsidR="00500E2C" w:rsidRDefault="00500E2C">
            <w:pPr>
              <w:pStyle w:val="Normal"/>
              <w:rPr>
                <w:sz w:val="20"/>
                <w:szCs w:val="20"/>
              </w:rPr>
            </w:pPr>
          </w:p>
        </w:tc>
      </w:tr>
      <w:tr w:rsidR="00500E2C" w:rsidTr="00500E2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b/>
                <w:bCs/>
                <w:sz w:val="20"/>
                <w:szCs w:val="20"/>
              </w:rPr>
              <w:t>Inflacja</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2,30%</w:t>
            </w:r>
          </w:p>
        </w:tc>
        <w:tc>
          <w:tcPr>
            <w:tcW w:w="1070" w:type="dxa"/>
            <w:gridSpan w:val="6"/>
            <w:vMerge/>
            <w:tcBorders>
              <w:top w:val="nil"/>
              <w:left w:val="single" w:sz="4" w:space="0" w:color="auto"/>
              <w:bottom w:val="nil"/>
              <w:right w:val="nil"/>
            </w:tcBorders>
            <w:tcMar>
              <w:right w:w="0" w:type="dxa"/>
            </w:tcMar>
            <w:vAlign w:val="center"/>
          </w:tcPr>
          <w:p w:rsidR="00500E2C" w:rsidRDefault="00500E2C">
            <w:pPr>
              <w:pStyle w:val="Normal"/>
              <w:rPr>
                <w:sz w:val="20"/>
                <w:szCs w:val="20"/>
              </w:rPr>
            </w:pPr>
          </w:p>
        </w:tc>
      </w:tr>
    </w:tbl>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Źródło: Wytyczne dotyczące założeń makroekonomicznych na potrzeby wieloletnich prognoz finansowych jednostek samorządu terytorialnego. Aktualizacja – październik 2016 r., (www.</w:t>
      </w:r>
      <w:proofErr w:type="gramStart"/>
      <w:r>
        <w:rPr>
          <w:sz w:val="20"/>
          <w:szCs w:val="20"/>
        </w:rPr>
        <w:t>mf</w:t>
      </w:r>
      <w:proofErr w:type="gramEnd"/>
      <w:r>
        <w:rPr>
          <w:sz w:val="20"/>
          <w:szCs w:val="20"/>
        </w:rPr>
        <w:t>.</w:t>
      </w:r>
      <w:proofErr w:type="gramStart"/>
      <w:r>
        <w:rPr>
          <w:sz w:val="20"/>
          <w:szCs w:val="20"/>
        </w:rPr>
        <w:t>gov</w:t>
      </w:r>
      <w:proofErr w:type="gramEnd"/>
      <w:r>
        <w:rPr>
          <w:sz w:val="20"/>
          <w:szCs w:val="20"/>
        </w:rPr>
        <w:t>.</w:t>
      </w:r>
      <w:proofErr w:type="gramStart"/>
      <w:r>
        <w:rPr>
          <w:sz w:val="20"/>
          <w:szCs w:val="20"/>
        </w:rPr>
        <w:t>pl</w:t>
      </w:r>
      <w:proofErr w:type="gramEnd"/>
      <w:r>
        <w:rPr>
          <w:sz w:val="20"/>
          <w:szCs w:val="20"/>
        </w:rPr>
        <w:t>), Warszawa 2016.</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Zgodnie z przyjętym założeniem, dochody i wydatki bieżące w roku 2017 uwzględnione w WPF wynikają z wartości zawartych w projekcie budżetu na 2017 rok. Od 2018 roku dochody i wydatki bieżące ustalono za pomocą wskaźników inflacji oraz wskaźnika dynamiki PKB. W tym celu, posłużono się metodą indeksacji wartości bazowych o odpowiednio przypisany dla każdej kategorii budżetowej wskaźnik. Waga zmiennej makroekonomicznej oznacza w jakim stopniu dochody lub wydatki zależą od poziomu wskaźnika z danego roku. Indeksowana zostaje wartość na rok przyszły.</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Sposób indeksacji za pomocą wag przedstawia poniższy wzór:</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center"/>
        <w:rPr>
          <w:sz w:val="20"/>
          <w:szCs w:val="20"/>
        </w:rPr>
      </w:pPr>
      <w:r>
        <w:rPr>
          <w:noProof/>
          <w:sz w:val="20"/>
          <w:szCs w:val="20"/>
          <w:lang w:eastAsia="pl-PL"/>
        </w:rPr>
        <w:drawing>
          <wp:inline distT="0" distB="0" distL="0" distR="0">
            <wp:extent cx="2971800" cy="180975"/>
            <wp:effectExtent l="0" t="0" r="0" b="952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71800" cy="180975"/>
                    </a:xfrm>
                    <a:prstGeom prst="rect">
                      <a:avLst/>
                    </a:prstGeom>
                    <a:noFill/>
                    <a:ln>
                      <a:noFill/>
                    </a:ln>
                  </pic:spPr>
                </pic:pic>
              </a:graphicData>
            </a:graphic>
          </wp:inline>
        </w:drawing>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proofErr w:type="gramStart"/>
      <w:r>
        <w:rPr>
          <w:sz w:val="20"/>
          <w:szCs w:val="20"/>
        </w:rPr>
        <w:t>gdzie</w:t>
      </w:r>
      <w:proofErr w:type="gramEnd"/>
      <w:r>
        <w:rPr>
          <w:sz w:val="20"/>
          <w:szCs w:val="20"/>
        </w:rPr>
        <w:t>:</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noProof/>
          <w:sz w:val="20"/>
          <w:szCs w:val="20"/>
          <w:lang w:eastAsia="pl-PL"/>
        </w:rPr>
        <w:drawing>
          <wp:inline distT="0" distB="0" distL="0" distR="0">
            <wp:extent cx="133350" cy="180975"/>
            <wp:effectExtent l="0" t="0" r="0" b="952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80975"/>
                    </a:xfrm>
                    <a:prstGeom prst="rect">
                      <a:avLst/>
                    </a:prstGeom>
                    <a:noFill/>
                    <a:ln>
                      <a:noFill/>
                    </a:ln>
                  </pic:spPr>
                </pic:pic>
              </a:graphicData>
            </a:graphic>
          </wp:inline>
        </w:drawing>
      </w:r>
      <w:r>
        <w:rPr>
          <w:sz w:val="20"/>
          <w:szCs w:val="20"/>
        </w:rPr>
        <w:t xml:space="preserve"> - wartość prognozowana danej kategorii dochodów bądź wydatków budżetowych;</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noProof/>
          <w:sz w:val="20"/>
          <w:szCs w:val="20"/>
          <w:lang w:eastAsia="pl-PL"/>
        </w:rPr>
        <w:drawing>
          <wp:inline distT="0" distB="0" distL="0" distR="0">
            <wp:extent cx="133350" cy="180975"/>
            <wp:effectExtent l="0" t="0" r="0" b="952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80975"/>
                    </a:xfrm>
                    <a:prstGeom prst="rect">
                      <a:avLst/>
                    </a:prstGeom>
                    <a:noFill/>
                    <a:ln>
                      <a:noFill/>
                    </a:ln>
                  </pic:spPr>
                </pic:pic>
              </a:graphicData>
            </a:graphic>
          </wp:inline>
        </w:drawing>
      </w:r>
      <w:r>
        <w:rPr>
          <w:sz w:val="20"/>
          <w:szCs w:val="20"/>
        </w:rPr>
        <w:t xml:space="preserve"> - wartość danej kategorii dochodów bądź wydatków budżetowych w roku poprzedzającym;</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noProof/>
          <w:sz w:val="20"/>
          <w:szCs w:val="20"/>
          <w:lang w:eastAsia="pl-PL"/>
        </w:rPr>
        <w:drawing>
          <wp:inline distT="0" distB="0" distL="0" distR="0">
            <wp:extent cx="247650" cy="180975"/>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180975"/>
                    </a:xfrm>
                    <a:prstGeom prst="rect">
                      <a:avLst/>
                    </a:prstGeom>
                    <a:noFill/>
                    <a:ln>
                      <a:noFill/>
                    </a:ln>
                  </pic:spPr>
                </pic:pic>
              </a:graphicData>
            </a:graphic>
          </wp:inline>
        </w:drawing>
      </w:r>
      <w:r>
        <w:rPr>
          <w:sz w:val="20"/>
          <w:szCs w:val="20"/>
        </w:rPr>
        <w:t xml:space="preserve"> - wartość wskaźnika inflacji w roku prognozowanym;</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noProof/>
          <w:sz w:val="20"/>
          <w:szCs w:val="20"/>
          <w:lang w:eastAsia="pl-PL"/>
        </w:rPr>
        <w:drawing>
          <wp:inline distT="0" distB="0" distL="0" distR="0">
            <wp:extent cx="276225" cy="180975"/>
            <wp:effectExtent l="0" t="0" r="9525"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r>
        <w:rPr>
          <w:sz w:val="20"/>
          <w:szCs w:val="20"/>
        </w:rPr>
        <w:t xml:space="preserve"> - waga przypisana wskaźnikowi CPI, będąca jego rzeczywistym wpływem na prognozowaną kategorię;</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noProof/>
          <w:sz w:val="20"/>
          <w:szCs w:val="20"/>
          <w:lang w:eastAsia="pl-PL"/>
        </w:rPr>
        <w:drawing>
          <wp:inline distT="0" distB="0" distL="0" distR="0">
            <wp:extent cx="400050" cy="18097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050" cy="180975"/>
                    </a:xfrm>
                    <a:prstGeom prst="rect">
                      <a:avLst/>
                    </a:prstGeom>
                    <a:noFill/>
                    <a:ln>
                      <a:noFill/>
                    </a:ln>
                  </pic:spPr>
                </pic:pic>
              </a:graphicData>
            </a:graphic>
          </wp:inline>
        </w:drawing>
      </w:r>
      <w:r>
        <w:rPr>
          <w:sz w:val="20"/>
          <w:szCs w:val="20"/>
        </w:rPr>
        <w:t xml:space="preserve"> - wskaźnik dynamiki PKB;</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noProof/>
          <w:sz w:val="20"/>
          <w:szCs w:val="20"/>
          <w:lang w:eastAsia="pl-PL"/>
        </w:rPr>
        <w:drawing>
          <wp:inline distT="0" distB="0" distL="0" distR="0">
            <wp:extent cx="381000" cy="1809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180975"/>
                    </a:xfrm>
                    <a:prstGeom prst="rect">
                      <a:avLst/>
                    </a:prstGeom>
                    <a:noFill/>
                    <a:ln>
                      <a:noFill/>
                    </a:ln>
                  </pic:spPr>
                </pic:pic>
              </a:graphicData>
            </a:graphic>
          </wp:inline>
        </w:drawing>
      </w:r>
      <w:r>
        <w:rPr>
          <w:sz w:val="20"/>
          <w:szCs w:val="20"/>
        </w:rPr>
        <w:t xml:space="preserve"> - waga przypisana wskaźnikowi dynamiki PKB, będąca jego rzeczywistym wpływem na prognozowaną kategorię.</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b/>
          <w:bCs/>
          <w:sz w:val="20"/>
          <w:szCs w:val="20"/>
        </w:rPr>
        <w:t>2. Dochody</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Prognozy dochodów Gminy Boleszkowice dokonano w podziałach merytorycznych, a następnie sklasyfikowano w podziały wymagane ustawowo. Podział merytoryczny został sporządzony za pomocą paragrafów klasyfikacji budżetowej i objął dochody bieżące i majątkowe.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Dochody bieżące prognozowano w podziale na:</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sz w:val="20"/>
          <w:szCs w:val="20"/>
        </w:rPr>
        <w:tab/>
        <w:t xml:space="preserve">1. </w:t>
      </w:r>
      <w:proofErr w:type="gramStart"/>
      <w:r>
        <w:rPr>
          <w:sz w:val="20"/>
          <w:szCs w:val="20"/>
        </w:rPr>
        <w:t>podatki</w:t>
      </w:r>
      <w:proofErr w:type="gramEnd"/>
      <w:r>
        <w:rPr>
          <w:sz w:val="20"/>
          <w:szCs w:val="20"/>
        </w:rPr>
        <w:t xml:space="preserve"> i opłaty lokalne (w tym: podatek od nieruchomości);</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sz w:val="20"/>
          <w:szCs w:val="20"/>
        </w:rPr>
        <w:tab/>
        <w:t xml:space="preserve">2. </w:t>
      </w:r>
      <w:proofErr w:type="gramStart"/>
      <w:r>
        <w:rPr>
          <w:sz w:val="20"/>
          <w:szCs w:val="20"/>
        </w:rPr>
        <w:t>udział</w:t>
      </w:r>
      <w:proofErr w:type="gramEnd"/>
      <w:r>
        <w:rPr>
          <w:sz w:val="20"/>
          <w:szCs w:val="20"/>
        </w:rPr>
        <w:t xml:space="preserve"> w podatkach centralnych (w tym PIT i CIT);</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sz w:val="20"/>
          <w:szCs w:val="20"/>
        </w:rPr>
        <w:tab/>
        <w:t xml:space="preserve">3. </w:t>
      </w:r>
      <w:proofErr w:type="gramStart"/>
      <w:r>
        <w:rPr>
          <w:sz w:val="20"/>
          <w:szCs w:val="20"/>
        </w:rPr>
        <w:t>subwencję</w:t>
      </w:r>
      <w:proofErr w:type="gramEnd"/>
      <w:r>
        <w:rPr>
          <w:sz w:val="20"/>
          <w:szCs w:val="20"/>
        </w:rPr>
        <w:t xml:space="preserve"> ogólną;</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sz w:val="20"/>
          <w:szCs w:val="20"/>
        </w:rPr>
        <w:tab/>
        <w:t xml:space="preserve">4. </w:t>
      </w:r>
      <w:proofErr w:type="gramStart"/>
      <w:r>
        <w:rPr>
          <w:sz w:val="20"/>
          <w:szCs w:val="20"/>
        </w:rPr>
        <w:t>dotacje</w:t>
      </w:r>
      <w:proofErr w:type="gramEnd"/>
      <w:r>
        <w:rPr>
          <w:sz w:val="20"/>
          <w:szCs w:val="20"/>
        </w:rPr>
        <w:t xml:space="preserve"> i środki przeznaczone na cele bieżące (na zadania zlecone i powierzone oraz na zadania własne);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lastRenderedPageBreak/>
        <w:tab/>
        <w:t xml:space="preserve">5. </w:t>
      </w:r>
      <w:proofErr w:type="gramStart"/>
      <w:r>
        <w:rPr>
          <w:sz w:val="20"/>
          <w:szCs w:val="20"/>
        </w:rPr>
        <w:t>pozostałe</w:t>
      </w:r>
      <w:proofErr w:type="gramEnd"/>
      <w:r>
        <w:rPr>
          <w:sz w:val="20"/>
          <w:szCs w:val="20"/>
        </w:rPr>
        <w:t xml:space="preserve"> dochody (w tym: grzywny i kary pieniężne, wpływy z usług, odsetki od środków na rachunkach bankowych).</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Dochody majątkowe prognozowano w podziale na:</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sz w:val="20"/>
          <w:szCs w:val="20"/>
        </w:rPr>
        <w:tab/>
        <w:t xml:space="preserve">1. </w:t>
      </w:r>
      <w:proofErr w:type="gramStart"/>
      <w:r>
        <w:rPr>
          <w:sz w:val="20"/>
          <w:szCs w:val="20"/>
        </w:rPr>
        <w:t>dochody</w:t>
      </w:r>
      <w:proofErr w:type="gramEnd"/>
      <w:r>
        <w:rPr>
          <w:sz w:val="20"/>
          <w:szCs w:val="20"/>
        </w:rPr>
        <w:t xml:space="preserve"> z majątku (w tym sprzedaż mienia);</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sz w:val="20"/>
          <w:szCs w:val="20"/>
        </w:rPr>
        <w:tab/>
        <w:t xml:space="preserve">2. </w:t>
      </w:r>
      <w:proofErr w:type="gramStart"/>
      <w:r>
        <w:rPr>
          <w:sz w:val="20"/>
          <w:szCs w:val="20"/>
        </w:rPr>
        <w:t>dotacje</w:t>
      </w:r>
      <w:proofErr w:type="gramEnd"/>
      <w:r>
        <w:rPr>
          <w:sz w:val="20"/>
          <w:szCs w:val="20"/>
        </w:rPr>
        <w:t xml:space="preserve"> i środki przeznaczone na inwestycje;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ab/>
        <w:t xml:space="preserve">3. </w:t>
      </w:r>
      <w:proofErr w:type="gramStart"/>
      <w:r>
        <w:rPr>
          <w:sz w:val="20"/>
          <w:szCs w:val="20"/>
        </w:rPr>
        <w:t>pozostałe</w:t>
      </w:r>
      <w:proofErr w:type="gramEnd"/>
      <w:r>
        <w:rPr>
          <w:sz w:val="20"/>
          <w:szCs w:val="20"/>
        </w:rPr>
        <w:t xml:space="preserve"> dochody.</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b/>
          <w:bCs/>
          <w:sz w:val="20"/>
          <w:szCs w:val="20"/>
        </w:rPr>
        <w:t>2.1 Dochody bieżące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Uwzględniając dotychczasowe kształtowanie się dochodów budżetu Gminy Boleszkowice oraz przewidywania na następne lata, w poszczególnych kategoriach dochodów bieżących posłużono się metodą indeksacji wartości bazowych o odpowiednio przypisany dla każdej kategorii budżetowej wskaźnik, za pomocą następujących wag:</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0"/>
          <w:szCs w:val="20"/>
        </w:rPr>
      </w:pPr>
      <w:r>
        <w:rPr>
          <w:b/>
          <w:bCs/>
          <w:sz w:val="20"/>
          <w:szCs w:val="20"/>
        </w:rPr>
        <w:t>Tabela 2. Wagi dla danych makroekonomicznych przyjęte do wyliczeń prognozy dochodów bieżących</w:t>
      </w:r>
    </w:p>
    <w:tbl>
      <w:tblPr>
        <w:tblW w:w="0" w:type="auto"/>
        <w:tblInd w:w="-5" w:type="dxa"/>
        <w:tblLayout w:type="fixed"/>
        <w:tblCellMar>
          <w:left w:w="10" w:type="dxa"/>
          <w:right w:w="10" w:type="dxa"/>
        </w:tblCellMar>
        <w:tblLook w:val="0000" w:firstRow="0" w:lastRow="0" w:firstColumn="0" w:lastColumn="0" w:noHBand="0" w:noVBand="0"/>
      </w:tblPr>
      <w:tblGrid>
        <w:gridCol w:w="2853"/>
        <w:gridCol w:w="2853"/>
        <w:gridCol w:w="2853"/>
      </w:tblGrid>
      <w:tr w:rsidR="00500E2C">
        <w:tc>
          <w:tcPr>
            <w:tcW w:w="2853"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sz w:val="20"/>
                <w:szCs w:val="20"/>
              </w:rPr>
              <w:t>Wyszczególnienie</w:t>
            </w:r>
          </w:p>
        </w:tc>
        <w:tc>
          <w:tcPr>
            <w:tcW w:w="2853"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sz w:val="20"/>
                <w:szCs w:val="20"/>
              </w:rPr>
              <w:t>INF</w:t>
            </w:r>
          </w:p>
        </w:tc>
        <w:tc>
          <w:tcPr>
            <w:tcW w:w="2853"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sz w:val="20"/>
                <w:szCs w:val="20"/>
              </w:rPr>
              <w:t>PKB</w:t>
            </w:r>
          </w:p>
        </w:tc>
      </w:tr>
      <w:tr w:rsidR="00500E2C">
        <w:tc>
          <w:tcPr>
            <w:tcW w:w="2853"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Udział w PIT</w:t>
            </w:r>
          </w:p>
        </w:tc>
        <w:tc>
          <w:tcPr>
            <w:tcW w:w="2853"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2853"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r>
      <w:tr w:rsidR="00500E2C">
        <w:tc>
          <w:tcPr>
            <w:tcW w:w="2853"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Udział w CIT</w:t>
            </w:r>
          </w:p>
        </w:tc>
        <w:tc>
          <w:tcPr>
            <w:tcW w:w="2853"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2853"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r>
      <w:tr w:rsidR="00500E2C">
        <w:tc>
          <w:tcPr>
            <w:tcW w:w="2853"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Podatki i opłaty</w:t>
            </w:r>
          </w:p>
        </w:tc>
        <w:tc>
          <w:tcPr>
            <w:tcW w:w="2853"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2853"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r>
      <w:tr w:rsidR="00500E2C">
        <w:tc>
          <w:tcPr>
            <w:tcW w:w="2853"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 podatek od nieruchomości</w:t>
            </w:r>
          </w:p>
        </w:tc>
        <w:tc>
          <w:tcPr>
            <w:tcW w:w="2853"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2853"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r>
      <w:tr w:rsidR="00500E2C">
        <w:tc>
          <w:tcPr>
            <w:tcW w:w="2853"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Subwencja ogólna</w:t>
            </w:r>
          </w:p>
        </w:tc>
        <w:tc>
          <w:tcPr>
            <w:tcW w:w="2853"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2853"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r>
      <w:tr w:rsidR="00500E2C">
        <w:tc>
          <w:tcPr>
            <w:tcW w:w="2853"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Dotacje i środki na cele bieżące</w:t>
            </w:r>
          </w:p>
        </w:tc>
        <w:tc>
          <w:tcPr>
            <w:tcW w:w="2853"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2853"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r>
    </w:tbl>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Źródło: Opracowanie własne.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b/>
          <w:bCs/>
          <w:sz w:val="20"/>
          <w:szCs w:val="20"/>
        </w:rPr>
        <w:t>Podatek od nieruchomości</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Stosownie do przepisów ustawy o podatkach i opłatach lokalnych wysokość stawek podatku od nieruchomości nie mogą przekroczyć górnych granic stawek kwotowych ogłoszonych przez Ministra Finansów. Wpływy z tytułu podatku od nieruchomości na 2017 rok zaplanowano w oparciu o uchwałę nr XXII/142/2016 w sprawie określenia wysokości rocznych stawek podatku od nieruchomości na 2017 rok.</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W latach następnych zakłada się wzrostowy trend wpływów z tego podatku i zwiększanie dochodów będących konsekwencją planowanego wzrostu stawek podatkowych oraz corocznego przyrostu przedmiotów opodatkowania związanych z prowadzeniem działalności gospodarczej oraz budynków mieszkalnych.</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b/>
          <w:bCs/>
          <w:sz w:val="20"/>
          <w:szCs w:val="20"/>
        </w:rPr>
        <w:t>Udział w podatkach centralnych</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Jako, że ta grupa dochodów pozostaje w bardzo silnym związku z sytuacją makroekonomiczną kraju, przy szacowaniu dochodów z tytułu udziałów w podatku dochodowym od osób fizycznych (PIT) oraz od osób prawnych (CIT) w latach 2017-2024 wzięto pod uwagę założony wskaźnik PKB.</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b/>
          <w:bCs/>
          <w:sz w:val="20"/>
          <w:szCs w:val="20"/>
        </w:rPr>
        <w:t>Subwencje i dotacje na zadania bieżące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Planowaną kwotę subwencji ogólnej oraz dotacji celowych z budżetu państwa (innych niż środki na dofinansowanie realizacji projektów europejskich) na 2017 rok przyjęto w oparciu o informacje przekazane przez Ministra Finansów. W kolejnych latach prognozy założono wzrost kwoty otrzymywanych dotychczas cyklicznych subwencji i dotacji celowych z budżetu państwa w oparciu o prognozowany wskaźnik PKB.</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b/>
          <w:bCs/>
          <w:sz w:val="20"/>
          <w:szCs w:val="20"/>
        </w:rPr>
        <w:t>2.2 Dochody majątkowe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Waloryzacji o wskaźniki makroekonomiczne nie poddano dochodów o charakterze majątkowym. Dochody majątkowe, w tym przede wszystkim dochody ze sprzedaży majątku pozbawione są regularności, a ich poziom uzależniony jest od czynników niezależnych, jak np. koniunktura na rynku nieruchomości.</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lastRenderedPageBreak/>
        <w:t>W 2017 roku dochody ze sprzedaży majątku zaplanowano na poziomie 500 000,00 zł. Bazując na informacjach o wykonaniu dochodów majątkowych w poprzednich latach, należy stwierdzić, że zaplanowana kwota jest realna, ryzyko ich niewykonania jest minimalne, a sama sprzedaż mienia została zaplanowana przy dochowaniu najwyższej staranności.</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Wartość zaplanowanych w 2017 roku dochodów ze sprzedaży ma zapewnić sprzedaż nieruchomości, których wykaz zaprezentowano w poniższej tabeli.</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0"/>
          <w:szCs w:val="20"/>
        </w:rPr>
      </w:pPr>
      <w:r>
        <w:rPr>
          <w:b/>
          <w:bCs/>
          <w:sz w:val="20"/>
          <w:szCs w:val="20"/>
        </w:rPr>
        <w:t>Tabela 3. Wykaz nieruchomości planowanych do sprzedaży w 2017 roku</w:t>
      </w:r>
    </w:p>
    <w:tbl>
      <w:tblPr>
        <w:tblW w:w="0" w:type="auto"/>
        <w:tblInd w:w="-5" w:type="dxa"/>
        <w:tblLayout w:type="fixed"/>
        <w:tblCellMar>
          <w:left w:w="10" w:type="dxa"/>
          <w:right w:w="10" w:type="dxa"/>
        </w:tblCellMar>
        <w:tblLook w:val="0000" w:firstRow="0" w:lastRow="0" w:firstColumn="0" w:lastColumn="0" w:noHBand="0" w:noVBand="0"/>
      </w:tblPr>
      <w:tblGrid>
        <w:gridCol w:w="1712"/>
        <w:gridCol w:w="1712"/>
        <w:gridCol w:w="1712"/>
        <w:gridCol w:w="1712"/>
        <w:gridCol w:w="1712"/>
      </w:tblGrid>
      <w:tr w:rsidR="00500E2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sz w:val="20"/>
                <w:szCs w:val="20"/>
              </w:rPr>
              <w:t>Położenie nieruchomości</w:t>
            </w:r>
          </w:p>
        </w:t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sz w:val="20"/>
                <w:szCs w:val="20"/>
              </w:rPr>
              <w:t>Nr działki i obręb</w:t>
            </w:r>
          </w:p>
        </w:t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sz w:val="20"/>
                <w:szCs w:val="20"/>
              </w:rPr>
              <w:t>Powierzchnia [ha]</w:t>
            </w:r>
          </w:p>
        </w:t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sz w:val="20"/>
                <w:szCs w:val="20"/>
              </w:rPr>
              <w:t>Wartość netto</w:t>
            </w:r>
          </w:p>
        </w:t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sz w:val="20"/>
                <w:szCs w:val="20"/>
              </w:rPr>
              <w:t>Planowany dochód</w:t>
            </w:r>
          </w:p>
        </w:tc>
      </w:tr>
      <w:tr w:rsidR="00500E2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Boleszkowice</w:t>
            </w:r>
          </w:p>
        </w:t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1652/2</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1,5936</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250000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250000</w:t>
            </w:r>
          </w:p>
        </w:tc>
      </w:tr>
      <w:tr w:rsidR="00500E2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Chwarszczany</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p>
        </w:t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399/1</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399/2</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399/3</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399/4</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399/5</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0,1144</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0,1075</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0,1072</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0,1091</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0,1073</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26000</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26000</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26000</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26000</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26000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26000</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26000</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26000</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26000</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26000</w:t>
            </w:r>
          </w:p>
        </w:tc>
      </w:tr>
      <w:tr w:rsidR="00500E2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Namyślin</w:t>
            </w:r>
          </w:p>
        </w:t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110/14</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110/15</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599/3</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599/4</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599/5</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0,0886</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0,0936</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0,1117</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0,1162</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0,1073</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25000</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25000</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30000</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30000</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30000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25000</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25000</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30000</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30000</w:t>
            </w:r>
          </w:p>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30000</w:t>
            </w:r>
          </w:p>
        </w:tc>
      </w:tr>
      <w:tr w:rsidR="00500E2C" w:rsidTr="00500E2C">
        <w:tc>
          <w:tcPr>
            <w:tcW w:w="6848" w:type="dxa"/>
            <w:gridSpan w:val="4"/>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b/>
                <w:bCs/>
                <w:sz w:val="20"/>
                <w:szCs w:val="20"/>
              </w:rPr>
              <w:t>Suma:</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520000</w:t>
            </w:r>
          </w:p>
        </w:tc>
      </w:tr>
    </w:tbl>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Źródło: Opracowanie własne.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b/>
          <w:bCs/>
          <w:sz w:val="20"/>
          <w:szCs w:val="20"/>
        </w:rPr>
        <w:t>3. Wydatki</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Prognozy wydatków Gminy Boleszkowice dokonano w podziale na kategorie wydatków bieżących i wydatków majątkowych.</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b/>
          <w:bCs/>
          <w:sz w:val="20"/>
          <w:szCs w:val="20"/>
        </w:rPr>
        <w:t>3.1 Wydatki bieżące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Wydatki bieżące prognozowano w podziale na:</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sz w:val="20"/>
          <w:szCs w:val="20"/>
        </w:rPr>
        <w:tab/>
        <w:t>1) wydatki na poręczenia i gwarancje;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sz w:val="20"/>
          <w:szCs w:val="20"/>
        </w:rPr>
        <w:tab/>
        <w:t>2) wydatki związane z obsługą zadłużenia, w tym odsetki i dyskonto;</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sz w:val="20"/>
          <w:szCs w:val="20"/>
        </w:rPr>
      </w:pPr>
      <w:r>
        <w:rPr>
          <w:sz w:val="20"/>
          <w:szCs w:val="20"/>
        </w:rPr>
        <w:tab/>
        <w:t>3) wynagrodzenia i składki od nich naliczane;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ab/>
        <w:t>4) pozostałe wydatki bieżące.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Zgodnie z założeniami przyjętymi przy prognozie dochodów, dla wydatków bieżących w roku 2017 przyjęto projekt budżetu. W latach 2018-2024 dokonano indeksacji o wagi wskaźników inflacji i PKB. O ile w przypadku wydatków na wynagrodzenia, pochodnych od wynagrodzeń i pozostałych wydatków bieżących możliwość zastosowania indeksacji jest uzasadniona, o tyle wydatki związane z obsługą długu są ściśle uzależnione od zawartych w umowach kredytowych, pożyczkowych i emisji obligacji postanowień.</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 xml:space="preserve">Ponadto planuje się w wydatkach bieżących wprowadzić </w:t>
      </w:r>
      <w:proofErr w:type="gramStart"/>
      <w:r>
        <w:rPr>
          <w:sz w:val="20"/>
          <w:szCs w:val="20"/>
        </w:rPr>
        <w:t>spore  oszczędności</w:t>
      </w:r>
      <w:proofErr w:type="gramEnd"/>
      <w:r>
        <w:rPr>
          <w:sz w:val="20"/>
          <w:szCs w:val="20"/>
        </w:rPr>
        <w:t xml:space="preserve"> w latach 2017 i 2018 i efekty będą widoczne w 2018 r. z uwagi na trudną sytuację finansową tj. niespełnienia relacji wskaźników w latach 2018 i 2019.</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b/>
          <w:bCs/>
          <w:sz w:val="20"/>
          <w:szCs w:val="20"/>
        </w:rPr>
        <w:t>3.2 Wydatki majątkowe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Wydatki majątkowe obejmują przede wszystkim przedsięwzięcia inwestycyjne, które ujęto w załączniku nr 2 do Wieloletniej Prognozy Finansowej Gminy Boleszkowice na lata 2017-2020. W kolejnych latach wydatki majątkowe zostały zaplanowane tak aby pokryły pozostałą po spłacie zobowiązań część tzw. wolnych środków.</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lastRenderedPageBreak/>
        <w:t>Oprócz przedsięwzięć przewidzianych w WPF zaplanowano niezbędne wydatki, takie jak: dotacje celowe dla JST wynikające z ustawy o ochronie gruntów rolnych i leśnych, wydatki na pozyskanie gruntów pod inwestycje drogowe itp.</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b/>
          <w:bCs/>
          <w:sz w:val="20"/>
          <w:szCs w:val="20"/>
        </w:rPr>
        <w:t>4. Wynik budżetu</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Wynik budżetu w prognozowanym okresie jest ściśle powiązany z przyjętymi założeniami do prognozy dochodów i wydatków. Fakt prognozowania w oparciu o dane makroekonomiczne o niewielkiej zmienności powoduje zrównoważony i stabilny wzrost dochodów oraz wydatków bieżących, któremu można przypisać cechy statystyczne. W całym prognozowanym okresie utrzymana została relacja z art. 242 (brak deficytu bieżącego). Ponadto wynik finansowy budżetu został sprowadzony do 0 w całym badanym okresie.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0"/>
          <w:szCs w:val="20"/>
        </w:rPr>
      </w:pPr>
      <w:r>
        <w:rPr>
          <w:b/>
          <w:bCs/>
          <w:sz w:val="20"/>
          <w:szCs w:val="20"/>
        </w:rPr>
        <w:t>Tabela 4. Wynik budżetu Gminy Boleszkowice</w:t>
      </w:r>
    </w:p>
    <w:tbl>
      <w:tblPr>
        <w:tblW w:w="0" w:type="auto"/>
        <w:tblInd w:w="-5" w:type="dxa"/>
        <w:tblLayout w:type="fixed"/>
        <w:tblCellMar>
          <w:left w:w="10" w:type="dxa"/>
          <w:right w:w="10" w:type="dxa"/>
        </w:tblCellMar>
        <w:tblLook w:val="0000" w:firstRow="0" w:lastRow="0" w:firstColumn="0" w:lastColumn="0" w:noHBand="0" w:noVBand="0"/>
      </w:tblPr>
      <w:tblGrid>
        <w:gridCol w:w="1712"/>
        <w:gridCol w:w="1712"/>
        <w:gridCol w:w="1712"/>
        <w:gridCol w:w="1712"/>
        <w:gridCol w:w="1712"/>
      </w:tblGrid>
      <w:tr w:rsidR="00500E2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p>
        </w:t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2017</w:t>
            </w:r>
          </w:p>
        </w:t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2018</w:t>
            </w:r>
          </w:p>
        </w:t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2019</w:t>
            </w:r>
          </w:p>
        </w:t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2020</w:t>
            </w:r>
          </w:p>
        </w:tc>
      </w:tr>
      <w:tr w:rsidR="00500E2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b/>
                <w:bCs/>
                <w:sz w:val="20"/>
                <w:szCs w:val="20"/>
              </w:rPr>
              <w:t>Dochody</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13 831 975,00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15 474 140,00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16 192 503,00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14 649 850,40</w:t>
            </w:r>
          </w:p>
        </w:tc>
      </w:tr>
      <w:tr w:rsidR="00500E2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b/>
                <w:bCs/>
                <w:sz w:val="20"/>
                <w:szCs w:val="20"/>
              </w:rPr>
              <w:t>Wydatki</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14 694 387,00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15 173 588,00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16 187 433,00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14 180 498,40</w:t>
            </w:r>
          </w:p>
        </w:tc>
      </w:tr>
      <w:tr w:rsidR="00500E2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b/>
                <w:bCs/>
                <w:sz w:val="20"/>
                <w:szCs w:val="20"/>
              </w:rPr>
              <w:t>Wynik budżetu</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-862 412,00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300 552,00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5 070,00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469 352,00</w:t>
            </w:r>
          </w:p>
        </w:tc>
      </w:tr>
      <w:tr w:rsidR="00500E2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p>
        </w:t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2021</w:t>
            </w:r>
          </w:p>
        </w:t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2022</w:t>
            </w:r>
          </w:p>
        </w:t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2023</w:t>
            </w:r>
          </w:p>
        </w:tc>
        <w:tc>
          <w:tcPr>
            <w:tcW w:w="1712"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2024</w:t>
            </w:r>
          </w:p>
        </w:tc>
      </w:tr>
      <w:tr w:rsidR="00500E2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b/>
                <w:bCs/>
                <w:sz w:val="20"/>
                <w:szCs w:val="20"/>
              </w:rPr>
              <w:t>Dochody</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14 435 730,00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13 659 486,00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12 998 866,00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12 794 892,00</w:t>
            </w:r>
          </w:p>
        </w:tc>
      </w:tr>
      <w:tr w:rsidR="00500E2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b/>
                <w:bCs/>
                <w:sz w:val="20"/>
                <w:szCs w:val="20"/>
              </w:rPr>
              <w:t>Wydatki</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14 101 500,00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13 396 360,00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12 735 740,00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12 614 799,00</w:t>
            </w:r>
          </w:p>
        </w:tc>
      </w:tr>
      <w:tr w:rsidR="00500E2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b/>
                <w:bCs/>
                <w:sz w:val="20"/>
                <w:szCs w:val="20"/>
              </w:rPr>
              <w:t>Wynik budżetu</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334 230,00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263 126,00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263 126,00</w:t>
            </w:r>
          </w:p>
        </w:tc>
        <w:tc>
          <w:tcPr>
            <w:tcW w:w="1712"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180 093,00</w:t>
            </w:r>
          </w:p>
        </w:tc>
      </w:tr>
    </w:tbl>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Źródło: Opracowanie własne.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b/>
          <w:bCs/>
          <w:sz w:val="20"/>
          <w:szCs w:val="20"/>
        </w:rPr>
        <w:t>5. Przychody</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W okresie objętym prognozą planuje się pozyskać przychody w roku 2017 na pokrycie planowanego deficytu budżetowego</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W okresie objętym prognozą planuje się zaciągnąć nowe zobowiązanie w kwocie 1023400,00 zł.</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b/>
          <w:bCs/>
          <w:sz w:val="20"/>
          <w:szCs w:val="20"/>
        </w:rPr>
        <w:t>6. Rozchody</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 xml:space="preserve">Na dzień 01.01.2017 </w:t>
      </w:r>
      <w:proofErr w:type="gramStart"/>
      <w:r>
        <w:rPr>
          <w:sz w:val="20"/>
          <w:szCs w:val="20"/>
        </w:rPr>
        <w:t>kwota</w:t>
      </w:r>
      <w:proofErr w:type="gramEnd"/>
      <w:r>
        <w:rPr>
          <w:sz w:val="20"/>
          <w:szCs w:val="20"/>
        </w:rPr>
        <w:t xml:space="preserve"> zadłużenia, wpływająca na kształtowanie się wskaźnika faktycznej obsługi zadłużenia, wynikająca z zaciągniętych kredytów, pożyczek i wyemitowanych obligacji wynosi 1 474 026,00 zł, a jego spłata planowana jest do roku 2024.</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b/>
          <w:bCs/>
          <w:sz w:val="20"/>
          <w:szCs w:val="20"/>
        </w:rPr>
        <w:t>7. Relacja z art. 243 ustawy o finansach publicznych</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Zgodnie z art. 243 ust. 1 ustawy z dnia 27 sierpnia 2009 r. o finansach publicznych (</w:t>
      </w:r>
      <w:proofErr w:type="spellStart"/>
      <w:r>
        <w:rPr>
          <w:sz w:val="20"/>
          <w:szCs w:val="20"/>
        </w:rPr>
        <w:t>t.j</w:t>
      </w:r>
      <w:proofErr w:type="spellEnd"/>
      <w:r>
        <w:rPr>
          <w:sz w:val="20"/>
          <w:szCs w:val="20"/>
        </w:rPr>
        <w:t xml:space="preserve">. Dz. U. </w:t>
      </w:r>
      <w:proofErr w:type="gramStart"/>
      <w:r>
        <w:rPr>
          <w:sz w:val="20"/>
          <w:szCs w:val="20"/>
        </w:rPr>
        <w:t>z</w:t>
      </w:r>
      <w:proofErr w:type="gramEnd"/>
      <w:r>
        <w:rPr>
          <w:sz w:val="20"/>
          <w:szCs w:val="20"/>
        </w:rPr>
        <w:t> 2016 r. poz. 1870 z </w:t>
      </w:r>
      <w:proofErr w:type="spellStart"/>
      <w:r>
        <w:rPr>
          <w:sz w:val="20"/>
          <w:szCs w:val="20"/>
        </w:rPr>
        <w:t>późn</w:t>
      </w:r>
      <w:proofErr w:type="spellEnd"/>
      <w:r>
        <w:rPr>
          <w:sz w:val="20"/>
          <w:szCs w:val="20"/>
        </w:rPr>
        <w:t xml:space="preserve">. </w:t>
      </w:r>
      <w:proofErr w:type="gramStart"/>
      <w:r>
        <w:rPr>
          <w:sz w:val="20"/>
          <w:szCs w:val="20"/>
        </w:rPr>
        <w:t>zm</w:t>
      </w:r>
      <w:proofErr w:type="gramEnd"/>
      <w:r>
        <w:rPr>
          <w:sz w:val="20"/>
          <w:szCs w:val="20"/>
        </w:rPr>
        <w:t>.) od 1 stycznia 2014 r. obowiązuje indywidualny wskaźnik zadłużenia dla samorządów. Według przepisów roczna wartość spłat zobowiązań i ich obsługi do planowanych dochodów nie może przekroczyć wskaźnika opartego na średniej arytmetycznej z obliczonych dla ostatnich 3 lat relacji dochodów bieżących, powiększonych o wpływy uzyskane ze sprzedaży majątku oraz pomniejszonych o wydatki bieżące, do dochodów ogółem.</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0"/>
          <w:szCs w:val="20"/>
        </w:rPr>
      </w:pPr>
      <w:r>
        <w:rPr>
          <w:b/>
          <w:bCs/>
          <w:sz w:val="20"/>
          <w:szCs w:val="20"/>
        </w:rPr>
        <w:t xml:space="preserve">Tabela 5. Kształtowanie się relacji z art. 243 </w:t>
      </w:r>
      <w:proofErr w:type="spellStart"/>
      <w:r>
        <w:rPr>
          <w:b/>
          <w:bCs/>
          <w:sz w:val="20"/>
          <w:szCs w:val="20"/>
        </w:rPr>
        <w:t>u.</w:t>
      </w:r>
      <w:proofErr w:type="gramStart"/>
      <w:r>
        <w:rPr>
          <w:b/>
          <w:bCs/>
          <w:sz w:val="20"/>
          <w:szCs w:val="20"/>
        </w:rPr>
        <w:t>f</w:t>
      </w:r>
      <w:proofErr w:type="gramEnd"/>
      <w:r>
        <w:rPr>
          <w:b/>
          <w:bCs/>
          <w:sz w:val="20"/>
          <w:szCs w:val="20"/>
        </w:rPr>
        <w:t>.</w:t>
      </w:r>
      <w:proofErr w:type="gramStart"/>
      <w:r>
        <w:rPr>
          <w:b/>
          <w:bCs/>
          <w:sz w:val="20"/>
          <w:szCs w:val="20"/>
        </w:rPr>
        <w:t>p</w:t>
      </w:r>
      <w:proofErr w:type="spellEnd"/>
      <w:proofErr w:type="gramEnd"/>
      <w:r>
        <w:rPr>
          <w:b/>
          <w:bCs/>
          <w:sz w:val="20"/>
          <w:szCs w:val="20"/>
        </w:rPr>
        <w:t>.</w:t>
      </w:r>
    </w:p>
    <w:tbl>
      <w:tblPr>
        <w:tblW w:w="0" w:type="auto"/>
        <w:tblInd w:w="-5" w:type="dxa"/>
        <w:tblLayout w:type="fixed"/>
        <w:tblCellMar>
          <w:left w:w="10" w:type="dxa"/>
          <w:right w:w="10" w:type="dxa"/>
        </w:tblCellMar>
        <w:tblLook w:val="0000" w:firstRow="0" w:lastRow="0" w:firstColumn="0" w:lastColumn="0" w:noHBand="0" w:noVBand="0"/>
      </w:tblPr>
      <w:tblGrid>
        <w:gridCol w:w="1070"/>
        <w:gridCol w:w="1070"/>
        <w:gridCol w:w="1070"/>
        <w:gridCol w:w="1070"/>
        <w:gridCol w:w="1070"/>
        <w:gridCol w:w="1070"/>
        <w:gridCol w:w="1070"/>
        <w:gridCol w:w="1070"/>
      </w:tblGrid>
      <w:tr w:rsidR="00500E2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p>
        </w:t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2017</w:t>
            </w:r>
          </w:p>
        </w:t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2018</w:t>
            </w:r>
          </w:p>
        </w:t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2019</w:t>
            </w:r>
          </w:p>
        </w:t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2020</w:t>
            </w:r>
          </w:p>
        </w:t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2021</w:t>
            </w:r>
          </w:p>
        </w:t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2022</w:t>
            </w:r>
          </w:p>
        </w:t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2023</w:t>
            </w:r>
          </w:p>
        </w:tc>
      </w:tr>
      <w:tr w:rsidR="00500E2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b/>
                <w:bCs/>
                <w:sz w:val="20"/>
                <w:szCs w:val="20"/>
              </w:rPr>
              <w:t xml:space="preserve">Obsługa zadłużenia (po </w:t>
            </w:r>
            <w:proofErr w:type="spellStart"/>
            <w:r>
              <w:rPr>
                <w:b/>
                <w:bCs/>
                <w:sz w:val="20"/>
                <w:szCs w:val="20"/>
              </w:rPr>
              <w:t>wyłączeniach</w:t>
            </w:r>
            <w:proofErr w:type="spellEnd"/>
            <w:r>
              <w:rPr>
                <w:b/>
                <w:bCs/>
                <w:sz w:val="20"/>
                <w:szCs w:val="20"/>
              </w:rPr>
              <w:t>)</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3,19%</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2,33%</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2,81%</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3,61%</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2,73%</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2,37%</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2,49%</w:t>
            </w:r>
          </w:p>
        </w:tc>
      </w:tr>
      <w:tr w:rsidR="00500E2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b/>
                <w:bCs/>
                <w:sz w:val="20"/>
                <w:szCs w:val="20"/>
              </w:rPr>
              <w:t xml:space="preserve">Maksymalna obsługa </w:t>
            </w:r>
            <w:r>
              <w:rPr>
                <w:b/>
                <w:bCs/>
                <w:sz w:val="20"/>
                <w:szCs w:val="20"/>
              </w:rPr>
              <w:lastRenderedPageBreak/>
              <w:t>zadłużenia</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lastRenderedPageBreak/>
              <w:t>5,75%</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2,35%</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3,72%</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6,32%</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7,24%</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6,81%</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6,54%</w:t>
            </w:r>
          </w:p>
        </w:tc>
      </w:tr>
      <w:tr w:rsidR="00500E2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b/>
                <w:bCs/>
                <w:sz w:val="20"/>
                <w:szCs w:val="20"/>
              </w:rPr>
              <w:lastRenderedPageBreak/>
              <w:t>Zachowanie relacji z art. 243</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r>
      <w:tr w:rsidR="00500E2C" w:rsidTr="00500E2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p>
        </w:tc>
        <w:tc>
          <w:tcPr>
            <w:tcW w:w="1070" w:type="dxa"/>
            <w:tcBorders>
              <w:top w:val="single" w:sz="4" w:space="0" w:color="auto"/>
              <w:left w:val="single" w:sz="4" w:space="0" w:color="auto"/>
              <w:bottom w:val="single" w:sz="4" w:space="0" w:color="auto"/>
              <w:right w:val="single" w:sz="4" w:space="0" w:color="auto"/>
            </w:tcBorders>
            <w:vAlign w:val="bottom"/>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szCs w:val="20"/>
              </w:rPr>
            </w:pPr>
            <w:r>
              <w:rPr>
                <w:b/>
                <w:bCs/>
                <w:sz w:val="20"/>
                <w:szCs w:val="20"/>
              </w:rPr>
              <w:t>2024</w:t>
            </w:r>
          </w:p>
        </w:tc>
        <w:tc>
          <w:tcPr>
            <w:tcW w:w="6420" w:type="dxa"/>
            <w:gridSpan w:val="6"/>
            <w:vMerge w:val="restart"/>
            <w:tcBorders>
              <w:top w:val="single" w:sz="4" w:space="0" w:color="auto"/>
              <w:left w:val="single" w:sz="4" w:space="0" w:color="auto"/>
              <w:bottom w:val="nil"/>
              <w:right w:val="nil"/>
            </w:tcBorders>
            <w:tcMar>
              <w:right w:w="0" w:type="dxa"/>
            </w:tcMar>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p>
        </w:tc>
      </w:tr>
      <w:tr w:rsidR="00500E2C" w:rsidTr="00500E2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b/>
                <w:bCs/>
                <w:sz w:val="20"/>
                <w:szCs w:val="20"/>
              </w:rPr>
              <w:t xml:space="preserve">Obsługa zadłużenia (po </w:t>
            </w:r>
            <w:proofErr w:type="spellStart"/>
            <w:r>
              <w:rPr>
                <w:b/>
                <w:bCs/>
                <w:sz w:val="20"/>
                <w:szCs w:val="20"/>
              </w:rPr>
              <w:t>wyłączeniach</w:t>
            </w:r>
            <w:proofErr w:type="spellEnd"/>
            <w:r>
              <w:rPr>
                <w:b/>
                <w:bCs/>
                <w:sz w:val="20"/>
                <w:szCs w:val="20"/>
              </w:rPr>
              <w:t>)</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1,88%</w:t>
            </w:r>
          </w:p>
        </w:tc>
        <w:tc>
          <w:tcPr>
            <w:tcW w:w="1070" w:type="dxa"/>
            <w:gridSpan w:val="6"/>
            <w:vMerge/>
            <w:tcBorders>
              <w:top w:val="nil"/>
              <w:left w:val="single" w:sz="4" w:space="0" w:color="auto"/>
              <w:bottom w:val="single" w:sz="4" w:space="0" w:color="auto"/>
              <w:right w:val="nil"/>
            </w:tcBorders>
            <w:tcMar>
              <w:right w:w="0" w:type="dxa"/>
            </w:tcMar>
          </w:tcPr>
          <w:p w:rsidR="00500E2C" w:rsidRDefault="00500E2C">
            <w:pPr>
              <w:pStyle w:val="Normal"/>
              <w:rPr>
                <w:sz w:val="20"/>
                <w:szCs w:val="20"/>
              </w:rPr>
            </w:pPr>
          </w:p>
        </w:tc>
      </w:tr>
      <w:tr w:rsidR="00500E2C" w:rsidTr="00500E2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b/>
                <w:bCs/>
                <w:sz w:val="20"/>
                <w:szCs w:val="20"/>
              </w:rPr>
              <w:t>Maksymalna obsługa zadłużenia</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6,41%</w:t>
            </w:r>
          </w:p>
        </w:tc>
        <w:tc>
          <w:tcPr>
            <w:tcW w:w="1070" w:type="dxa"/>
            <w:gridSpan w:val="6"/>
            <w:vMerge/>
            <w:tcBorders>
              <w:top w:val="nil"/>
              <w:left w:val="single" w:sz="4" w:space="0" w:color="auto"/>
              <w:bottom w:val="single" w:sz="4" w:space="0" w:color="auto"/>
              <w:right w:val="nil"/>
            </w:tcBorders>
            <w:tcMar>
              <w:right w:w="0" w:type="dxa"/>
            </w:tcMar>
          </w:tcPr>
          <w:p w:rsidR="00500E2C" w:rsidRDefault="00500E2C">
            <w:pPr>
              <w:pStyle w:val="Normal"/>
              <w:rPr>
                <w:sz w:val="20"/>
                <w:szCs w:val="20"/>
              </w:rPr>
            </w:pPr>
          </w:p>
        </w:tc>
      </w:tr>
      <w:tr w:rsidR="00500E2C" w:rsidTr="00500E2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b/>
                <w:bCs/>
                <w:sz w:val="20"/>
                <w:szCs w:val="20"/>
              </w:rPr>
              <w:t>Zachowanie relacji z art. 243</w:t>
            </w:r>
          </w:p>
        </w:tc>
        <w:tc>
          <w:tcPr>
            <w:tcW w:w="1070" w:type="dxa"/>
            <w:tcBorders>
              <w:top w:val="single" w:sz="4" w:space="0" w:color="auto"/>
              <w:left w:val="single" w:sz="4" w:space="0" w:color="auto"/>
              <w:bottom w:val="single" w:sz="4" w:space="0" w:color="auto"/>
              <w:right w:val="single" w:sz="4" w:space="0" w:color="auto"/>
            </w:tcBorders>
          </w:tcPr>
          <w:p w:rsidR="00500E2C" w:rsidRDefault="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gridSpan w:val="6"/>
            <w:vMerge/>
            <w:tcBorders>
              <w:top w:val="nil"/>
              <w:left w:val="single" w:sz="4" w:space="0" w:color="auto"/>
              <w:bottom w:val="nil"/>
              <w:right w:val="nil"/>
            </w:tcBorders>
            <w:tcMar>
              <w:right w:w="0" w:type="dxa"/>
            </w:tcMar>
            <w:vAlign w:val="center"/>
          </w:tcPr>
          <w:p w:rsidR="00500E2C" w:rsidRDefault="00500E2C">
            <w:pPr>
              <w:pStyle w:val="Normal"/>
              <w:rPr>
                <w:sz w:val="20"/>
                <w:szCs w:val="20"/>
              </w:rPr>
            </w:pPr>
          </w:p>
        </w:tc>
      </w:tr>
    </w:tbl>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Źródło: Opracowanie własne.</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sz w:val="20"/>
          <w:szCs w:val="20"/>
        </w:rPr>
      </w:pPr>
      <w:r>
        <w:rPr>
          <w:sz w:val="20"/>
          <w:szCs w:val="20"/>
        </w:rPr>
        <w:t>Graficzne przedstawienie relacji prezentuje wykres poniżej.</w:t>
      </w:r>
    </w:p>
    <w:p w:rsidR="00500E2C" w:rsidRDefault="00500E2C" w:rsidP="00500E2C">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center"/>
        <w:rPr>
          <w:sz w:val="20"/>
          <w:szCs w:val="20"/>
        </w:rPr>
      </w:pPr>
    </w:p>
    <w:p w:rsidR="00500E2C" w:rsidRDefault="00500E2C" w:rsidP="00500E2C">
      <w:pPr>
        <w:pStyle w:val="Normal"/>
        <w:rPr>
          <w:sz w:val="20"/>
          <w:szCs w:val="20"/>
        </w:rPr>
      </w:pPr>
    </w:p>
    <w:p w:rsidR="0086464C" w:rsidRDefault="0086464C"/>
    <w:sectPr w:rsidR="0086464C" w:rsidSect="0096162D">
      <w:pgSz w:w="12240" w:h="15840"/>
      <w:pgMar w:top="1417" w:right="1417" w:bottom="1417" w:left="1417" w:header="720" w:footer="720"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E2C"/>
    <w:rsid w:val="00500E2C"/>
    <w:rsid w:val="0086464C"/>
    <w:rsid w:val="00C307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ECE62C-95E8-4B3D-88F1-480A28200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
    <w:name w:val="[Normal]"/>
    <w:rsid w:val="00500E2C"/>
    <w:pPr>
      <w:widowControl w:val="0"/>
      <w:autoSpaceDE w:val="0"/>
      <w:autoSpaceDN w:val="0"/>
      <w:adjustRightInd w:val="0"/>
      <w:spacing w:after="0" w:line="240" w:lineRule="auto"/>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wmf"/><Relationship Id="rId3" Type="http://schemas.openxmlformats.org/officeDocument/2006/relationships/webSettings" Target="webSettings.xml"/><Relationship Id="rId7" Type="http://schemas.openxmlformats.org/officeDocument/2006/relationships/image" Target="media/image4.w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wmf"/><Relationship Id="rId11" Type="http://schemas.openxmlformats.org/officeDocument/2006/relationships/fontTable" Target="fontTable.xml"/><Relationship Id="rId5" Type="http://schemas.openxmlformats.org/officeDocument/2006/relationships/image" Target="media/image2.wmf"/><Relationship Id="rId10" Type="http://schemas.openxmlformats.org/officeDocument/2006/relationships/image" Target="media/image7.wmf"/><Relationship Id="rId4" Type="http://schemas.openxmlformats.org/officeDocument/2006/relationships/image" Target="media/image1.wmf"/><Relationship Id="rId9" Type="http://schemas.openxmlformats.org/officeDocument/2006/relationships/image" Target="media/image6.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1937</Words>
  <Characters>11623</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2017-01-05T12:51:00Z</dcterms:created>
  <dcterms:modified xsi:type="dcterms:W3CDTF">2017-01-05T12:53:00Z</dcterms:modified>
</cp:coreProperties>
</file>