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0"/>
          <w:szCs w:val="20"/>
        </w:rPr>
      </w:pPr>
      <w:r>
        <w:rPr>
          <w:sz w:val="20"/>
          <w:szCs w:val="20"/>
        </w:rPr>
        <w:tab/>
      </w:r>
      <w:r>
        <w:rPr>
          <w:sz w:val="20"/>
          <w:szCs w:val="20"/>
        </w:rPr>
        <w:tab/>
      </w:r>
      <w:r>
        <w:rPr>
          <w:sz w:val="20"/>
          <w:szCs w:val="20"/>
        </w:rPr>
        <w:tab/>
      </w:r>
      <w:r>
        <w:rPr>
          <w:sz w:val="20"/>
          <w:szCs w:val="20"/>
        </w:rPr>
        <w:tab/>
        <w:t>Załącznik nr 3</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Do Uchwały Nr </w:t>
      </w:r>
      <w:r>
        <w:rPr>
          <w:sz w:val="20"/>
          <w:szCs w:val="20"/>
        </w:rPr>
        <w:tab/>
        <w:t>XXIII/146/2016</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Rady Gminy Boleszkowice</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proofErr w:type="gramStart"/>
      <w:r>
        <w:rPr>
          <w:sz w:val="20"/>
          <w:szCs w:val="20"/>
        </w:rPr>
        <w:t>z</w:t>
      </w:r>
      <w:proofErr w:type="gramEnd"/>
      <w:r>
        <w:rPr>
          <w:sz w:val="20"/>
          <w:szCs w:val="20"/>
        </w:rPr>
        <w:t xml:space="preserve"> dnia 29 grudnia 2016 roku</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rPr>
          <w:b/>
          <w:bCs/>
          <w:sz w:val="20"/>
          <w:szCs w:val="20"/>
        </w:rPr>
      </w:pP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rPr>
          <w:b/>
          <w:bCs/>
          <w:sz w:val="20"/>
          <w:szCs w:val="20"/>
        </w:rPr>
      </w:pP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center"/>
        <w:rPr>
          <w:rFonts w:ascii="Times New Roman" w:hAnsi="Times New Roman" w:cs="Times New Roman"/>
          <w:sz w:val="20"/>
          <w:szCs w:val="20"/>
        </w:rPr>
      </w:pPr>
      <w:r>
        <w:rPr>
          <w:b/>
          <w:bCs/>
          <w:sz w:val="20"/>
          <w:szCs w:val="20"/>
        </w:rPr>
        <w:t>UZASADNIENIE</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center"/>
        <w:rPr>
          <w:rFonts w:ascii="Times New Roman" w:hAnsi="Times New Roman" w:cs="Times New Roman"/>
        </w:rPr>
      </w:pPr>
      <w:r>
        <w:rPr>
          <w:b/>
          <w:bCs/>
          <w:sz w:val="20"/>
          <w:szCs w:val="20"/>
        </w:rPr>
        <w:t>Obja</w:t>
      </w:r>
      <w:r>
        <w:rPr>
          <w:rFonts w:ascii="Times New Roman" w:hAnsi="Times New Roman" w:cs="Times New Roman"/>
          <w:b/>
          <w:bCs/>
          <w:sz w:val="20"/>
          <w:szCs w:val="20"/>
        </w:rPr>
        <w:t>śnienia przyjętych wartości do Wieloletniej Prognozy F</w:t>
      </w:r>
      <w:r>
        <w:rPr>
          <w:rFonts w:ascii="Times New Roman" w:hAnsi="Times New Roman" w:cs="Times New Roman"/>
          <w:b/>
          <w:bCs/>
        </w:rPr>
        <w:t>inansowej Gminy Boleszkowice na lata 2016-2026.</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sz w:val="22"/>
          <w:szCs w:val="22"/>
        </w:rPr>
        <w:t>Obowi</w:t>
      </w:r>
      <w:r>
        <w:rPr>
          <w:rFonts w:ascii="Times New Roman" w:hAnsi="Times New Roman" w:cs="Times New Roman"/>
          <w:sz w:val="22"/>
          <w:szCs w:val="22"/>
        </w:rPr>
        <w:t>ązek sporządzenia Wieloletniej Prognozy Finansowej jest jedną z zasadniczych zmian wprowadzonych ustawą z dnia 27 sierpnia 2009 roku odnoszących się do zagadnień gospodarki finansowej jednostek samorządu terytorialnego. Regulacja ta stwarza możliwość kompleksowej analizy sytuacji finansowej jednostki oraz możliwość oceny podejmowanych przedsięwzięć z perspektywy ich znaczenia dla samorządu. W zamyśle prawodawcy wieloletnia prognoza finansowa jednostki samorządu terytorialnego ma być instrumentem nowoczesnego zarządzania finansami publicznymi.</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rFonts w:ascii="Times New Roman" w:hAnsi="Times New Roman" w:cs="Times New Roman"/>
          <w:sz w:val="22"/>
          <w:szCs w:val="22"/>
        </w:rPr>
        <w:t xml:space="preserve">W Wieloletniej Prognozie Finansowej Gminy Boleszkowice zastosowano wzory załączników (załącznik nr 1 oraz załącznik nr 2 do uchwały) zgodnie z Rozporządzeniem Ministra Finansów z dnia 8 sierpnia 2014 roku zmieniającym rozporządzenie w sprawie wieloletniej prognozy finansowej jednostki samorządu terytorialnego z dnia 10 stycznia 2013 roku (Dz. U. </w:t>
      </w:r>
      <w:proofErr w:type="gramStart"/>
      <w:r>
        <w:rPr>
          <w:rFonts w:ascii="Times New Roman" w:hAnsi="Times New Roman" w:cs="Times New Roman"/>
          <w:sz w:val="22"/>
          <w:szCs w:val="22"/>
        </w:rPr>
        <w:t>z</w:t>
      </w:r>
      <w:proofErr w:type="gramEnd"/>
      <w:r>
        <w:rPr>
          <w:rFonts w:ascii="Times New Roman" w:hAnsi="Times New Roman" w:cs="Times New Roman"/>
          <w:sz w:val="22"/>
          <w:szCs w:val="22"/>
        </w:rPr>
        <w:t> 2014 r. poz. 1127).</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rFonts w:ascii="Times New Roman" w:hAnsi="Times New Roman" w:cs="Times New Roman"/>
          <w:sz w:val="22"/>
          <w:szCs w:val="22"/>
        </w:rPr>
        <w:t>Podstawą opracowania Wieloletniej Prognozy Finansowej Gminy Boleszkowice jest projekt uchwały budżetowej na 2016 rok, dane sprawozdawcze z wykonania budżetu Gminy Boleszkowice za lata 2013 i 2014, wartości planowane na koniec III kwartału 2015 roku oraz wytyczne Ministra Finansów dotyczące założeń makroekonomicznych dla potrzeb sporządzania wieloletnich prognoz finansowych jednostek samorządu terytorialnego.</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rFonts w:ascii="Times New Roman" w:hAnsi="Times New Roman" w:cs="Times New Roman"/>
          <w:sz w:val="22"/>
          <w:szCs w:val="22"/>
        </w:rPr>
        <w:t xml:space="preserve">Art. 227 ust. 1 ustawy z dnia 27 sierpnia 2009 roku o finansach publicznych (tj. Dz. U. </w:t>
      </w:r>
      <w:proofErr w:type="gramStart"/>
      <w:r>
        <w:rPr>
          <w:rFonts w:ascii="Times New Roman" w:hAnsi="Times New Roman" w:cs="Times New Roman"/>
          <w:sz w:val="22"/>
          <w:szCs w:val="22"/>
        </w:rPr>
        <w:t>z</w:t>
      </w:r>
      <w:proofErr w:type="gramEnd"/>
      <w:r>
        <w:rPr>
          <w:rFonts w:ascii="Times New Roman" w:hAnsi="Times New Roman" w:cs="Times New Roman"/>
          <w:sz w:val="22"/>
          <w:szCs w:val="22"/>
        </w:rPr>
        <w:t> 2013 r. poz. 885 z </w:t>
      </w:r>
      <w:proofErr w:type="spellStart"/>
      <w:r>
        <w:rPr>
          <w:rFonts w:ascii="Times New Roman" w:hAnsi="Times New Roman" w:cs="Times New Roman"/>
          <w:sz w:val="22"/>
          <w:szCs w:val="22"/>
        </w:rPr>
        <w:t>późn</w:t>
      </w:r>
      <w:proofErr w:type="spellEnd"/>
      <w:r>
        <w:rPr>
          <w:rFonts w:ascii="Times New Roman" w:hAnsi="Times New Roman" w:cs="Times New Roman"/>
          <w:sz w:val="22"/>
          <w:szCs w:val="22"/>
        </w:rPr>
        <w:t xml:space="preserve">. </w:t>
      </w:r>
      <w:proofErr w:type="gramStart"/>
      <w:r>
        <w:rPr>
          <w:rFonts w:ascii="Times New Roman" w:hAnsi="Times New Roman" w:cs="Times New Roman"/>
          <w:sz w:val="22"/>
          <w:szCs w:val="22"/>
        </w:rPr>
        <w:t>zm</w:t>
      </w:r>
      <w:proofErr w:type="gramEnd"/>
      <w:r>
        <w:rPr>
          <w:rFonts w:ascii="Times New Roman" w:hAnsi="Times New Roman" w:cs="Times New Roman"/>
          <w:sz w:val="22"/>
          <w:szCs w:val="22"/>
        </w:rPr>
        <w:t>.) zakłada, iż wieloletnia prognoza finansowa obejmuje okres roku budżetowego oraz co najmniej trzech kolejnych lat budżetowych. Z ust. 2 powołanego artykułu wynika, iż prognozę kwoty długu, stanowiącą integralną część wieloletniej prognozy finansowej, sporządza się na okres na który zaciągnięto lub planuje się zaciągnąć zobowiązanie. Na dzień podjęcia uchwały, spłatę zobowiązań przewiduje się do roku 2026. W związku z powyższym, Wieloletnia Prognoza Finansowa Gminy Boleszkowice została przygotowana na lata 2016-2026.</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rFonts w:ascii="Times New Roman" w:hAnsi="Times New Roman" w:cs="Times New Roman"/>
          <w:sz w:val="22"/>
          <w:szCs w:val="22"/>
        </w:rPr>
        <w:t>Kwoty wydatków wynikające z limitów wydatków na przedsięwzięcia nie wykraczają poza okres prognozy kwoty długu. Nie planuje się także wydatków z tytułu niewymagalnych poręczeń i gwarancji, które przekraczałyby okres prognozy kwoty długu.</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rPr>
      </w:pPr>
      <w:r>
        <w:rPr>
          <w:b/>
          <w:bCs/>
        </w:rPr>
        <w:t>1. Za</w:t>
      </w:r>
      <w:r>
        <w:rPr>
          <w:rFonts w:ascii="Times New Roman" w:hAnsi="Times New Roman" w:cs="Times New Roman"/>
          <w:b/>
          <w:bCs/>
        </w:rPr>
        <w:t>łożenia makroekonomiczne</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sz w:val="22"/>
          <w:szCs w:val="22"/>
        </w:rPr>
        <w:t>Przy opracowaniu prognozy pozycji bud</w:t>
      </w:r>
      <w:r>
        <w:rPr>
          <w:rFonts w:ascii="Times New Roman" w:hAnsi="Times New Roman" w:cs="Times New Roman"/>
          <w:sz w:val="22"/>
          <w:szCs w:val="22"/>
        </w:rPr>
        <w:t>żetowych Gminy Boleszkowice wykorzystano dwa podstawowe mierniki koniunktury gospodarczej – produkt krajowy brutto (PKB) oraz wskaźnik inflacji (CPI). Na ich podstawie oszacowano wartości dochodów i wydatków Gminy Boleszkowice, co dzięki konstrukcji i zaawansowanym metodom dokonywania obliczeń, pozwoli realizować w przyszłości właściwą politykę finansową jednostki.</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rFonts w:ascii="Times New Roman" w:hAnsi="Times New Roman" w:cs="Times New Roman"/>
          <w:sz w:val="22"/>
          <w:szCs w:val="22"/>
        </w:rPr>
        <w:t xml:space="preserve">Zgodnie z zaleceniami Ministra Finansów prognozę wskazanych mierników oparto o Wytyczne dotyczące </w:t>
      </w:r>
      <w:r>
        <w:rPr>
          <w:rFonts w:ascii="Times New Roman" w:hAnsi="Times New Roman" w:cs="Times New Roman"/>
          <w:sz w:val="22"/>
          <w:szCs w:val="22"/>
        </w:rPr>
        <w:lastRenderedPageBreak/>
        <w:t>założeń makroekonomicznych na potrzeby wieloletnich prognoz finansowych jednostek samorządu terytorialnego. Ostatnia dostępna aktualizacja ww. wytycznych miała miejsce 6 października 2015 roku, a dane wynikające z powołanego dokumentu prezentuje tabela 1.</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rFonts w:ascii="Times New Roman" w:hAnsi="Times New Roman" w:cs="Times New Roman"/>
          <w:sz w:val="22"/>
          <w:szCs w:val="22"/>
        </w:rPr>
        <w:t>Prognozę oparto o następujące założenia:</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rFonts w:ascii="Times New Roman" w:hAnsi="Times New Roman" w:cs="Times New Roman"/>
          <w:sz w:val="22"/>
          <w:szCs w:val="22"/>
        </w:rPr>
      </w:pPr>
      <w:r>
        <w:rPr>
          <w:rFonts w:ascii="Times New Roman" w:hAnsi="Times New Roman" w:cs="Times New Roman"/>
          <w:sz w:val="22"/>
          <w:szCs w:val="22"/>
        </w:rPr>
        <w:tab/>
      </w:r>
      <w:proofErr w:type="gramStart"/>
      <w:r>
        <w:rPr>
          <w:rFonts w:ascii="Times New Roman" w:hAnsi="Times New Roman" w:cs="Times New Roman"/>
          <w:sz w:val="22"/>
          <w:szCs w:val="22"/>
        </w:rPr>
        <w:t>1) dla</w:t>
      </w:r>
      <w:proofErr w:type="gramEnd"/>
      <w:r>
        <w:rPr>
          <w:rFonts w:ascii="Times New Roman" w:hAnsi="Times New Roman" w:cs="Times New Roman"/>
          <w:sz w:val="22"/>
          <w:szCs w:val="22"/>
        </w:rPr>
        <w:t xml:space="preserve"> roku 2016 przyjęto wartości wynikające z projektu budżetu;</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rFonts w:ascii="Times New Roman" w:hAnsi="Times New Roman" w:cs="Times New Roman"/>
          <w:sz w:val="22"/>
          <w:szCs w:val="22"/>
        </w:rPr>
        <w:tab/>
      </w:r>
      <w:proofErr w:type="gramStart"/>
      <w:r>
        <w:rPr>
          <w:rFonts w:ascii="Times New Roman" w:hAnsi="Times New Roman" w:cs="Times New Roman"/>
          <w:sz w:val="22"/>
          <w:szCs w:val="22"/>
        </w:rPr>
        <w:t>2) dla</w:t>
      </w:r>
      <w:proofErr w:type="gramEnd"/>
      <w:r>
        <w:rPr>
          <w:rFonts w:ascii="Times New Roman" w:hAnsi="Times New Roman" w:cs="Times New Roman"/>
          <w:sz w:val="22"/>
          <w:szCs w:val="22"/>
        </w:rPr>
        <w:t xml:space="preserve"> lat 2017-2026 prognozę wykonano poprzez indeksację o wskaźniki dynamiki inflacji oraz dynamiki PKB.</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rFonts w:ascii="Times New Roman" w:hAnsi="Times New Roman" w:cs="Times New Roman"/>
          <w:sz w:val="22"/>
          <w:szCs w:val="22"/>
        </w:rPr>
        <w:t>Podzielenie prognozy w powyższy sposób pozwala na realną ocenę możliwości inwestycyjno-kredytowych gminy.</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Times New Roman" w:hAnsi="Times New Roman" w:cs="Times New Roman"/>
          <w:sz w:val="18"/>
          <w:szCs w:val="18"/>
        </w:rPr>
      </w:pPr>
      <w:r>
        <w:rPr>
          <w:b/>
          <w:bCs/>
          <w:sz w:val="18"/>
          <w:szCs w:val="18"/>
        </w:rPr>
        <w:t>Tabela 1. Dane makroekonomiczne przyj</w:t>
      </w:r>
      <w:r>
        <w:rPr>
          <w:rFonts w:ascii="Times New Roman" w:hAnsi="Times New Roman" w:cs="Times New Roman"/>
          <w:b/>
          <w:bCs/>
          <w:sz w:val="18"/>
          <w:szCs w:val="18"/>
        </w:rPr>
        <w:t>ęte do wyliczeń prognozy</w:t>
      </w:r>
    </w:p>
    <w:tbl>
      <w:tblPr>
        <w:tblW w:w="0" w:type="auto"/>
        <w:tblInd w:w="-5" w:type="dxa"/>
        <w:tblLayout w:type="fixed"/>
        <w:tblCellMar>
          <w:left w:w="10" w:type="dxa"/>
          <w:right w:w="10" w:type="dxa"/>
        </w:tblCellMar>
        <w:tblLook w:val="0000" w:firstRow="0" w:lastRow="0" w:firstColumn="0" w:lastColumn="0" w:noHBand="0" w:noVBand="0"/>
      </w:tblPr>
      <w:tblGrid>
        <w:gridCol w:w="1070"/>
        <w:gridCol w:w="1070"/>
        <w:gridCol w:w="1070"/>
        <w:gridCol w:w="1070"/>
        <w:gridCol w:w="1070"/>
        <w:gridCol w:w="1070"/>
        <w:gridCol w:w="1070"/>
        <w:gridCol w:w="1070"/>
      </w:tblGrid>
      <w:tr w:rsidR="00875BCB">
        <w:tc>
          <w:tcPr>
            <w:tcW w:w="1070" w:type="dxa"/>
            <w:tcBorders>
              <w:top w:val="single" w:sz="4" w:space="0" w:color="auto"/>
              <w:left w:val="single" w:sz="4" w:space="0" w:color="auto"/>
              <w:bottom w:val="single" w:sz="4" w:space="0" w:color="auto"/>
              <w:right w:val="single" w:sz="4" w:space="0" w:color="auto"/>
            </w:tcBorders>
            <w:vAlign w:val="bottom"/>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20"/>
                <w:szCs w:val="20"/>
              </w:rPr>
            </w:pPr>
            <w:r>
              <w:rPr>
                <w:b/>
                <w:bCs/>
                <w:sz w:val="20"/>
                <w:szCs w:val="20"/>
              </w:rPr>
              <w:t>Wska</w:t>
            </w:r>
            <w:r>
              <w:rPr>
                <w:rFonts w:ascii="Times New Roman" w:hAnsi="Times New Roman" w:cs="Times New Roman"/>
                <w:b/>
                <w:bCs/>
                <w:sz w:val="20"/>
                <w:szCs w:val="20"/>
              </w:rPr>
              <w:t>źnik</w:t>
            </w:r>
          </w:p>
        </w:tc>
        <w:tc>
          <w:tcPr>
            <w:tcW w:w="1070" w:type="dxa"/>
            <w:tcBorders>
              <w:top w:val="single" w:sz="4" w:space="0" w:color="auto"/>
              <w:left w:val="single" w:sz="4" w:space="0" w:color="auto"/>
              <w:bottom w:val="single" w:sz="4" w:space="0" w:color="auto"/>
              <w:right w:val="single" w:sz="4" w:space="0" w:color="auto"/>
            </w:tcBorders>
            <w:vAlign w:val="bottom"/>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2016</w:t>
            </w:r>
          </w:p>
        </w:tc>
        <w:tc>
          <w:tcPr>
            <w:tcW w:w="1070" w:type="dxa"/>
            <w:tcBorders>
              <w:top w:val="single" w:sz="4" w:space="0" w:color="auto"/>
              <w:left w:val="single" w:sz="4" w:space="0" w:color="auto"/>
              <w:bottom w:val="single" w:sz="4" w:space="0" w:color="auto"/>
              <w:right w:val="single" w:sz="4" w:space="0" w:color="auto"/>
            </w:tcBorders>
            <w:vAlign w:val="bottom"/>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2017</w:t>
            </w:r>
          </w:p>
        </w:tc>
        <w:tc>
          <w:tcPr>
            <w:tcW w:w="1070" w:type="dxa"/>
            <w:tcBorders>
              <w:top w:val="single" w:sz="4" w:space="0" w:color="auto"/>
              <w:left w:val="single" w:sz="4" w:space="0" w:color="auto"/>
              <w:bottom w:val="single" w:sz="4" w:space="0" w:color="auto"/>
              <w:right w:val="single" w:sz="4" w:space="0" w:color="auto"/>
            </w:tcBorders>
            <w:vAlign w:val="bottom"/>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2018</w:t>
            </w:r>
          </w:p>
        </w:tc>
        <w:tc>
          <w:tcPr>
            <w:tcW w:w="1070" w:type="dxa"/>
            <w:tcBorders>
              <w:top w:val="single" w:sz="4" w:space="0" w:color="auto"/>
              <w:left w:val="single" w:sz="4" w:space="0" w:color="auto"/>
              <w:bottom w:val="single" w:sz="4" w:space="0" w:color="auto"/>
              <w:right w:val="single" w:sz="4" w:space="0" w:color="auto"/>
            </w:tcBorders>
            <w:vAlign w:val="bottom"/>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2019</w:t>
            </w:r>
          </w:p>
        </w:tc>
        <w:tc>
          <w:tcPr>
            <w:tcW w:w="1070" w:type="dxa"/>
            <w:tcBorders>
              <w:top w:val="single" w:sz="4" w:space="0" w:color="auto"/>
              <w:left w:val="single" w:sz="4" w:space="0" w:color="auto"/>
              <w:bottom w:val="single" w:sz="4" w:space="0" w:color="auto"/>
              <w:right w:val="single" w:sz="4" w:space="0" w:color="auto"/>
            </w:tcBorders>
            <w:vAlign w:val="bottom"/>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2020</w:t>
            </w:r>
          </w:p>
        </w:tc>
        <w:tc>
          <w:tcPr>
            <w:tcW w:w="1070" w:type="dxa"/>
            <w:tcBorders>
              <w:top w:val="single" w:sz="4" w:space="0" w:color="auto"/>
              <w:left w:val="single" w:sz="4" w:space="0" w:color="auto"/>
              <w:bottom w:val="single" w:sz="4" w:space="0" w:color="auto"/>
              <w:right w:val="single" w:sz="4" w:space="0" w:color="auto"/>
            </w:tcBorders>
            <w:vAlign w:val="bottom"/>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2021</w:t>
            </w:r>
          </w:p>
        </w:tc>
        <w:tc>
          <w:tcPr>
            <w:tcW w:w="1070" w:type="dxa"/>
            <w:tcBorders>
              <w:top w:val="single" w:sz="4" w:space="0" w:color="auto"/>
              <w:left w:val="single" w:sz="4" w:space="0" w:color="auto"/>
              <w:bottom w:val="single" w:sz="4" w:space="0" w:color="auto"/>
              <w:right w:val="single" w:sz="4" w:space="0" w:color="auto"/>
            </w:tcBorders>
            <w:vAlign w:val="bottom"/>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2022</w:t>
            </w:r>
          </w:p>
        </w:tc>
      </w:tr>
      <w:tr w:rsidR="00875BCB">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18"/>
                <w:szCs w:val="18"/>
              </w:rPr>
            </w:pPr>
            <w:r>
              <w:rPr>
                <w:b/>
                <w:bCs/>
                <w:sz w:val="18"/>
                <w:szCs w:val="18"/>
              </w:rPr>
              <w:t>PKB</w:t>
            </w:r>
          </w:p>
        </w:tc>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3,70%</w:t>
            </w:r>
          </w:p>
        </w:tc>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3,90%</w:t>
            </w:r>
          </w:p>
        </w:tc>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4,00%</w:t>
            </w:r>
          </w:p>
        </w:tc>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4,00%</w:t>
            </w:r>
          </w:p>
        </w:tc>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3,80%</w:t>
            </w:r>
          </w:p>
        </w:tc>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3,70%</w:t>
            </w:r>
          </w:p>
        </w:tc>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3,40%</w:t>
            </w:r>
          </w:p>
        </w:tc>
      </w:tr>
      <w:tr w:rsidR="00875BCB">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18"/>
                <w:szCs w:val="18"/>
              </w:rPr>
            </w:pPr>
            <w:r>
              <w:rPr>
                <w:b/>
                <w:bCs/>
                <w:sz w:val="18"/>
                <w:szCs w:val="18"/>
              </w:rPr>
              <w:t>Inflacja</w:t>
            </w:r>
          </w:p>
        </w:tc>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2,30%</w:t>
            </w:r>
          </w:p>
        </w:tc>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2,10%</w:t>
            </w:r>
          </w:p>
        </w:tc>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2,50%</w:t>
            </w:r>
          </w:p>
        </w:tc>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2,40%</w:t>
            </w:r>
          </w:p>
        </w:tc>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2,40%</w:t>
            </w:r>
          </w:p>
        </w:tc>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2,40%</w:t>
            </w:r>
          </w:p>
        </w:tc>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2,40%</w:t>
            </w:r>
          </w:p>
        </w:tc>
      </w:tr>
      <w:tr w:rsidR="00875BCB">
        <w:tc>
          <w:tcPr>
            <w:tcW w:w="1070" w:type="dxa"/>
            <w:tcBorders>
              <w:top w:val="single" w:sz="4" w:space="0" w:color="auto"/>
              <w:left w:val="single" w:sz="4" w:space="0" w:color="auto"/>
              <w:bottom w:val="single" w:sz="4" w:space="0" w:color="auto"/>
              <w:right w:val="single" w:sz="4" w:space="0" w:color="auto"/>
            </w:tcBorders>
            <w:vAlign w:val="bottom"/>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Wska</w:t>
            </w:r>
            <w:r>
              <w:rPr>
                <w:rFonts w:ascii="Times New Roman" w:hAnsi="Times New Roman" w:cs="Times New Roman"/>
                <w:b/>
                <w:bCs/>
                <w:sz w:val="20"/>
                <w:szCs w:val="20"/>
              </w:rPr>
              <w:t>źnik</w:t>
            </w:r>
          </w:p>
        </w:tc>
        <w:tc>
          <w:tcPr>
            <w:tcW w:w="1070" w:type="dxa"/>
            <w:tcBorders>
              <w:top w:val="single" w:sz="4" w:space="0" w:color="auto"/>
              <w:left w:val="single" w:sz="4" w:space="0" w:color="auto"/>
              <w:bottom w:val="single" w:sz="4" w:space="0" w:color="auto"/>
              <w:right w:val="single" w:sz="4" w:space="0" w:color="auto"/>
            </w:tcBorders>
            <w:vAlign w:val="bottom"/>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2023</w:t>
            </w:r>
          </w:p>
        </w:tc>
        <w:tc>
          <w:tcPr>
            <w:tcW w:w="1070" w:type="dxa"/>
            <w:tcBorders>
              <w:top w:val="single" w:sz="4" w:space="0" w:color="auto"/>
              <w:left w:val="single" w:sz="4" w:space="0" w:color="auto"/>
              <w:bottom w:val="single" w:sz="4" w:space="0" w:color="auto"/>
              <w:right w:val="single" w:sz="4" w:space="0" w:color="auto"/>
            </w:tcBorders>
            <w:vAlign w:val="bottom"/>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2024</w:t>
            </w:r>
          </w:p>
        </w:tc>
        <w:tc>
          <w:tcPr>
            <w:tcW w:w="1070" w:type="dxa"/>
            <w:tcBorders>
              <w:top w:val="single" w:sz="4" w:space="0" w:color="auto"/>
              <w:left w:val="single" w:sz="4" w:space="0" w:color="auto"/>
              <w:bottom w:val="single" w:sz="4" w:space="0" w:color="auto"/>
              <w:right w:val="single" w:sz="4" w:space="0" w:color="auto"/>
            </w:tcBorders>
            <w:vAlign w:val="bottom"/>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2025</w:t>
            </w:r>
          </w:p>
        </w:tc>
        <w:tc>
          <w:tcPr>
            <w:tcW w:w="1070" w:type="dxa"/>
            <w:tcBorders>
              <w:top w:val="single" w:sz="4" w:space="0" w:color="auto"/>
              <w:left w:val="single" w:sz="4" w:space="0" w:color="auto"/>
              <w:bottom w:val="single" w:sz="4" w:space="0" w:color="auto"/>
              <w:right w:val="single" w:sz="4" w:space="0" w:color="auto"/>
            </w:tcBorders>
            <w:vAlign w:val="bottom"/>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2026</w:t>
            </w:r>
          </w:p>
        </w:tc>
        <w:tc>
          <w:tcPr>
            <w:tcW w:w="3210" w:type="dxa"/>
            <w:gridSpan w:val="3"/>
            <w:vMerge w:val="restart"/>
            <w:tcBorders>
              <w:top w:val="single" w:sz="4" w:space="0" w:color="auto"/>
              <w:left w:val="single" w:sz="4" w:space="0" w:color="auto"/>
              <w:bottom w:val="nil"/>
              <w:right w:val="nil"/>
            </w:tcBorders>
            <w:tcMar>
              <w:right w:w="0" w:type="dxa"/>
            </w:tcMar>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Times New Roman" w:hAnsi="Times New Roman" w:cs="Times New Roman"/>
                <w:sz w:val="20"/>
                <w:szCs w:val="20"/>
              </w:rPr>
            </w:pPr>
          </w:p>
        </w:tc>
      </w:tr>
      <w:tr w:rsidR="00875BCB">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18"/>
                <w:szCs w:val="18"/>
              </w:rPr>
            </w:pPr>
            <w:r>
              <w:rPr>
                <w:b/>
                <w:bCs/>
                <w:sz w:val="18"/>
                <w:szCs w:val="18"/>
              </w:rPr>
              <w:t>PKB</w:t>
            </w:r>
          </w:p>
        </w:tc>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3,20%</w:t>
            </w:r>
          </w:p>
        </w:tc>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3,10%</w:t>
            </w:r>
          </w:p>
        </w:tc>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3,00%</w:t>
            </w:r>
          </w:p>
        </w:tc>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2,90%</w:t>
            </w:r>
          </w:p>
        </w:tc>
        <w:tc>
          <w:tcPr>
            <w:tcW w:w="3210" w:type="dxa"/>
            <w:gridSpan w:val="3"/>
            <w:vMerge/>
            <w:tcBorders>
              <w:top w:val="nil"/>
              <w:left w:val="single" w:sz="4" w:space="0" w:color="auto"/>
              <w:bottom w:val="single" w:sz="4" w:space="0" w:color="auto"/>
              <w:right w:val="nil"/>
            </w:tcBorders>
            <w:tcMar>
              <w:right w:w="0" w:type="dxa"/>
            </w:tcMar>
          </w:tcPr>
          <w:p w:rsidR="00875BCB" w:rsidRDefault="00875BCB">
            <w:pPr>
              <w:pStyle w:val="Normal"/>
              <w:rPr>
                <w:sz w:val="20"/>
                <w:szCs w:val="20"/>
              </w:rPr>
            </w:pPr>
          </w:p>
        </w:tc>
      </w:tr>
      <w:tr w:rsidR="00875BCB">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18"/>
                <w:szCs w:val="18"/>
              </w:rPr>
            </w:pPr>
            <w:r>
              <w:rPr>
                <w:b/>
                <w:bCs/>
                <w:sz w:val="18"/>
                <w:szCs w:val="18"/>
              </w:rPr>
              <w:t>Inflacja</w:t>
            </w:r>
          </w:p>
        </w:tc>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2,30%</w:t>
            </w:r>
          </w:p>
        </w:tc>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2,30%</w:t>
            </w:r>
          </w:p>
        </w:tc>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2,30%</w:t>
            </w:r>
          </w:p>
        </w:tc>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2,30%</w:t>
            </w:r>
          </w:p>
        </w:tc>
        <w:tc>
          <w:tcPr>
            <w:tcW w:w="3210" w:type="dxa"/>
            <w:gridSpan w:val="3"/>
            <w:vMerge/>
            <w:tcBorders>
              <w:top w:val="nil"/>
              <w:left w:val="single" w:sz="4" w:space="0" w:color="auto"/>
              <w:bottom w:val="nil"/>
              <w:right w:val="nil"/>
            </w:tcBorders>
            <w:tcMar>
              <w:right w:w="0" w:type="dxa"/>
            </w:tcMar>
            <w:vAlign w:val="center"/>
          </w:tcPr>
          <w:p w:rsidR="00875BCB" w:rsidRDefault="00875BCB">
            <w:pPr>
              <w:pStyle w:val="Normal"/>
              <w:rPr>
                <w:sz w:val="20"/>
                <w:szCs w:val="20"/>
              </w:rPr>
            </w:pPr>
          </w:p>
        </w:tc>
      </w:tr>
    </w:tbl>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16"/>
          <w:szCs w:val="16"/>
        </w:rPr>
      </w:pPr>
      <w:r>
        <w:rPr>
          <w:rFonts w:ascii="Times New Roman" w:hAnsi="Times New Roman" w:cs="Times New Roman"/>
          <w:sz w:val="16"/>
          <w:szCs w:val="16"/>
        </w:rPr>
        <w:t>Źródło: Wytyczne dotyczące założeń makroekonomicznych na potrzeby wieloletnich prognoz finansowych jednostek samorządu terytorialnego. Aktualizacja – październik 2015 r., (www.</w:t>
      </w:r>
      <w:proofErr w:type="gramStart"/>
      <w:r>
        <w:rPr>
          <w:rFonts w:ascii="Times New Roman" w:hAnsi="Times New Roman" w:cs="Times New Roman"/>
          <w:sz w:val="16"/>
          <w:szCs w:val="16"/>
        </w:rPr>
        <w:t>mf</w:t>
      </w:r>
      <w:proofErr w:type="gramEnd"/>
      <w:r>
        <w:rPr>
          <w:rFonts w:ascii="Times New Roman" w:hAnsi="Times New Roman" w:cs="Times New Roman"/>
          <w:sz w:val="16"/>
          <w:szCs w:val="16"/>
        </w:rPr>
        <w:t>.</w:t>
      </w:r>
      <w:proofErr w:type="gramStart"/>
      <w:r>
        <w:rPr>
          <w:rFonts w:ascii="Times New Roman" w:hAnsi="Times New Roman" w:cs="Times New Roman"/>
          <w:sz w:val="16"/>
          <w:szCs w:val="16"/>
        </w:rPr>
        <w:t>gov</w:t>
      </w:r>
      <w:proofErr w:type="gramEnd"/>
      <w:r>
        <w:rPr>
          <w:rFonts w:ascii="Times New Roman" w:hAnsi="Times New Roman" w:cs="Times New Roman"/>
          <w:sz w:val="16"/>
          <w:szCs w:val="16"/>
        </w:rPr>
        <w:t>.</w:t>
      </w:r>
      <w:proofErr w:type="gramStart"/>
      <w:r>
        <w:rPr>
          <w:rFonts w:ascii="Times New Roman" w:hAnsi="Times New Roman" w:cs="Times New Roman"/>
          <w:sz w:val="16"/>
          <w:szCs w:val="16"/>
        </w:rPr>
        <w:t>pl</w:t>
      </w:r>
      <w:proofErr w:type="gramEnd"/>
      <w:r>
        <w:rPr>
          <w:rFonts w:ascii="Times New Roman" w:hAnsi="Times New Roman" w:cs="Times New Roman"/>
          <w:sz w:val="16"/>
          <w:szCs w:val="16"/>
        </w:rPr>
        <w:t>), Warszawa 2015.</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sz w:val="22"/>
          <w:szCs w:val="22"/>
        </w:rPr>
        <w:t>Zgodnie z przyj</w:t>
      </w:r>
      <w:r>
        <w:rPr>
          <w:rFonts w:ascii="Times New Roman" w:hAnsi="Times New Roman" w:cs="Times New Roman"/>
          <w:sz w:val="22"/>
          <w:szCs w:val="22"/>
        </w:rPr>
        <w:t>ętym założeniem, dochody i wydatki bieżące w roku 2016 uwzględnione w WPF wynikają z wartości zawartych w projekcie budżetu na 2016 rok. Od 2017 roku dochody i wydatki bieżące ustalono za pomocą wskaźników inflacji oraz wskaźnika dynamiki PKB. W tym celu, posłużono się metodą indeksacji wartości bazowych o odpowiednio przypisany dla każdej kategorii budżetowej wskaźnik. Waga zmiennej makroekonomicznej oznacza w jakim stopniu dochody lub wydatki zależą od poziomu wskaźnika z danego roku. Indeksowana zostaje wartość na rok przyszły.</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rFonts w:ascii="Times New Roman" w:hAnsi="Times New Roman" w:cs="Times New Roman"/>
          <w:sz w:val="22"/>
          <w:szCs w:val="22"/>
        </w:rPr>
        <w:t>Sposób indeksacji za pomocą wag przedstawia poniższy wzór:</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center"/>
        <w:rPr>
          <w:rFonts w:ascii="Times New Roman" w:hAnsi="Times New Roman" w:cs="Times New Roman"/>
          <w:sz w:val="22"/>
          <w:szCs w:val="22"/>
        </w:rPr>
      </w:pPr>
      <w:r>
        <w:rPr>
          <w:rFonts w:ascii="Times New Roman" w:hAnsi="Times New Roman" w:cs="Times New Roman"/>
          <w:noProof/>
          <w:sz w:val="22"/>
          <w:szCs w:val="22"/>
          <w:lang w:eastAsia="pl-PL"/>
        </w:rPr>
        <w:drawing>
          <wp:inline distT="0" distB="0" distL="0" distR="0">
            <wp:extent cx="2971800" cy="180975"/>
            <wp:effectExtent l="0" t="0" r="0" b="9525"/>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971800" cy="180975"/>
                    </a:xfrm>
                    <a:prstGeom prst="rect">
                      <a:avLst/>
                    </a:prstGeom>
                    <a:noFill/>
                    <a:ln>
                      <a:noFill/>
                    </a:ln>
                  </pic:spPr>
                </pic:pic>
              </a:graphicData>
            </a:graphic>
          </wp:inline>
        </w:drawing>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rFonts w:ascii="Times New Roman" w:hAnsi="Times New Roman" w:cs="Times New Roman"/>
          <w:sz w:val="22"/>
          <w:szCs w:val="22"/>
        </w:rPr>
      </w:pPr>
      <w:proofErr w:type="gramStart"/>
      <w:r>
        <w:rPr>
          <w:rFonts w:ascii="Times New Roman" w:hAnsi="Times New Roman" w:cs="Times New Roman"/>
          <w:sz w:val="22"/>
          <w:szCs w:val="22"/>
        </w:rPr>
        <w:t>gdzie</w:t>
      </w:r>
      <w:proofErr w:type="gramEnd"/>
      <w:r>
        <w:rPr>
          <w:rFonts w:ascii="Times New Roman" w:hAnsi="Times New Roman" w:cs="Times New Roman"/>
          <w:sz w:val="22"/>
          <w:szCs w:val="22"/>
        </w:rPr>
        <w:t>:</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rFonts w:ascii="Times New Roman" w:hAnsi="Times New Roman" w:cs="Times New Roman"/>
          <w:sz w:val="22"/>
          <w:szCs w:val="22"/>
        </w:rPr>
      </w:pPr>
      <w:r>
        <w:rPr>
          <w:rFonts w:ascii="Times New Roman" w:hAnsi="Times New Roman" w:cs="Times New Roman"/>
          <w:noProof/>
          <w:sz w:val="22"/>
          <w:szCs w:val="22"/>
          <w:lang w:eastAsia="pl-PL"/>
        </w:rPr>
        <w:drawing>
          <wp:inline distT="0" distB="0" distL="0" distR="0">
            <wp:extent cx="133350" cy="180975"/>
            <wp:effectExtent l="0" t="0" r="0" b="9525"/>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80975"/>
                    </a:xfrm>
                    <a:prstGeom prst="rect">
                      <a:avLst/>
                    </a:prstGeom>
                    <a:noFill/>
                    <a:ln>
                      <a:noFill/>
                    </a:ln>
                  </pic:spPr>
                </pic:pic>
              </a:graphicData>
            </a:graphic>
          </wp:inline>
        </w:drawing>
      </w:r>
      <w:r>
        <w:rPr>
          <w:rFonts w:ascii="Times New Roman" w:hAnsi="Times New Roman" w:cs="Times New Roman"/>
          <w:sz w:val="22"/>
          <w:szCs w:val="22"/>
        </w:rPr>
        <w:t xml:space="preserve"> - wartość prognozowana danej kategorii dochodów bądź wydatków budżetowych;</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rFonts w:ascii="Times New Roman" w:hAnsi="Times New Roman" w:cs="Times New Roman"/>
          <w:sz w:val="22"/>
          <w:szCs w:val="22"/>
        </w:rPr>
      </w:pPr>
      <w:r>
        <w:rPr>
          <w:rFonts w:ascii="Times New Roman" w:hAnsi="Times New Roman" w:cs="Times New Roman"/>
          <w:noProof/>
          <w:sz w:val="22"/>
          <w:szCs w:val="22"/>
          <w:lang w:eastAsia="pl-PL"/>
        </w:rPr>
        <w:drawing>
          <wp:inline distT="0" distB="0" distL="0" distR="0">
            <wp:extent cx="133350" cy="180975"/>
            <wp:effectExtent l="0" t="0" r="0" b="9525"/>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80975"/>
                    </a:xfrm>
                    <a:prstGeom prst="rect">
                      <a:avLst/>
                    </a:prstGeom>
                    <a:noFill/>
                    <a:ln>
                      <a:noFill/>
                    </a:ln>
                  </pic:spPr>
                </pic:pic>
              </a:graphicData>
            </a:graphic>
          </wp:inline>
        </w:drawing>
      </w:r>
      <w:r>
        <w:rPr>
          <w:rFonts w:ascii="Times New Roman" w:hAnsi="Times New Roman" w:cs="Times New Roman"/>
          <w:sz w:val="22"/>
          <w:szCs w:val="22"/>
        </w:rPr>
        <w:t xml:space="preserve"> - wartość danej kategorii dochodów bądź wydatków budżetowych w roku poprzedzającym;</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rFonts w:ascii="Times New Roman" w:hAnsi="Times New Roman" w:cs="Times New Roman"/>
          <w:sz w:val="22"/>
          <w:szCs w:val="22"/>
        </w:rPr>
      </w:pPr>
      <w:r>
        <w:rPr>
          <w:rFonts w:ascii="Times New Roman" w:hAnsi="Times New Roman" w:cs="Times New Roman"/>
          <w:noProof/>
          <w:sz w:val="22"/>
          <w:szCs w:val="22"/>
          <w:lang w:eastAsia="pl-PL"/>
        </w:rPr>
        <w:drawing>
          <wp:inline distT="0" distB="0" distL="0" distR="0">
            <wp:extent cx="247650" cy="180975"/>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7650" cy="180975"/>
                    </a:xfrm>
                    <a:prstGeom prst="rect">
                      <a:avLst/>
                    </a:prstGeom>
                    <a:noFill/>
                    <a:ln>
                      <a:noFill/>
                    </a:ln>
                  </pic:spPr>
                </pic:pic>
              </a:graphicData>
            </a:graphic>
          </wp:inline>
        </w:drawing>
      </w:r>
      <w:r>
        <w:rPr>
          <w:rFonts w:ascii="Times New Roman" w:hAnsi="Times New Roman" w:cs="Times New Roman"/>
          <w:sz w:val="22"/>
          <w:szCs w:val="22"/>
        </w:rPr>
        <w:t xml:space="preserve"> - wartość wskaźnika inflacji w roku prognozowanym;</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rFonts w:ascii="Times New Roman" w:hAnsi="Times New Roman" w:cs="Times New Roman"/>
          <w:sz w:val="22"/>
          <w:szCs w:val="22"/>
        </w:rPr>
      </w:pPr>
      <w:r>
        <w:rPr>
          <w:rFonts w:ascii="Times New Roman" w:hAnsi="Times New Roman" w:cs="Times New Roman"/>
          <w:noProof/>
          <w:sz w:val="22"/>
          <w:szCs w:val="22"/>
          <w:lang w:eastAsia="pl-PL"/>
        </w:rPr>
        <w:drawing>
          <wp:inline distT="0" distB="0" distL="0" distR="0">
            <wp:extent cx="276225" cy="180975"/>
            <wp:effectExtent l="0" t="0" r="9525" b="952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6225" cy="180975"/>
                    </a:xfrm>
                    <a:prstGeom prst="rect">
                      <a:avLst/>
                    </a:prstGeom>
                    <a:noFill/>
                    <a:ln>
                      <a:noFill/>
                    </a:ln>
                  </pic:spPr>
                </pic:pic>
              </a:graphicData>
            </a:graphic>
          </wp:inline>
        </w:drawing>
      </w:r>
      <w:r>
        <w:rPr>
          <w:rFonts w:ascii="Times New Roman" w:hAnsi="Times New Roman" w:cs="Times New Roman"/>
          <w:sz w:val="22"/>
          <w:szCs w:val="22"/>
        </w:rPr>
        <w:t xml:space="preserve"> - waga przypisana wskaźnikowi CPI, będąca jego rzeczywistym wpływem na prognozowaną kategorię;</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rFonts w:ascii="Times New Roman" w:hAnsi="Times New Roman" w:cs="Times New Roman"/>
          <w:sz w:val="22"/>
          <w:szCs w:val="22"/>
        </w:rPr>
      </w:pPr>
      <w:r>
        <w:rPr>
          <w:rFonts w:ascii="Times New Roman" w:hAnsi="Times New Roman" w:cs="Times New Roman"/>
          <w:noProof/>
          <w:sz w:val="22"/>
          <w:szCs w:val="22"/>
          <w:lang w:eastAsia="pl-PL"/>
        </w:rPr>
        <w:drawing>
          <wp:inline distT="0" distB="0" distL="0" distR="0">
            <wp:extent cx="400050" cy="180975"/>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0050" cy="180975"/>
                    </a:xfrm>
                    <a:prstGeom prst="rect">
                      <a:avLst/>
                    </a:prstGeom>
                    <a:noFill/>
                    <a:ln>
                      <a:noFill/>
                    </a:ln>
                  </pic:spPr>
                </pic:pic>
              </a:graphicData>
            </a:graphic>
          </wp:inline>
        </w:drawing>
      </w:r>
      <w:r>
        <w:rPr>
          <w:rFonts w:ascii="Times New Roman" w:hAnsi="Times New Roman" w:cs="Times New Roman"/>
          <w:sz w:val="22"/>
          <w:szCs w:val="22"/>
        </w:rPr>
        <w:t xml:space="preserve"> - wskaźnik dynamiki PKB;</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rFonts w:ascii="Times New Roman" w:hAnsi="Times New Roman" w:cs="Times New Roman"/>
          <w:noProof/>
          <w:sz w:val="22"/>
          <w:szCs w:val="22"/>
          <w:lang w:eastAsia="pl-PL"/>
        </w:rPr>
        <w:drawing>
          <wp:inline distT="0" distB="0" distL="0" distR="0">
            <wp:extent cx="381000" cy="180975"/>
            <wp:effectExtent l="0" t="0" r="0" b="952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00" cy="180975"/>
                    </a:xfrm>
                    <a:prstGeom prst="rect">
                      <a:avLst/>
                    </a:prstGeom>
                    <a:noFill/>
                    <a:ln>
                      <a:noFill/>
                    </a:ln>
                  </pic:spPr>
                </pic:pic>
              </a:graphicData>
            </a:graphic>
          </wp:inline>
        </w:drawing>
      </w:r>
      <w:r>
        <w:rPr>
          <w:rFonts w:ascii="Times New Roman" w:hAnsi="Times New Roman" w:cs="Times New Roman"/>
          <w:sz w:val="22"/>
          <w:szCs w:val="22"/>
        </w:rPr>
        <w:t xml:space="preserve"> - waga przypisana wskaźnikowi dynamiki PKB, będąca jego rzeczywistym wpływem na prognozowaną kategorię.</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rPr>
      </w:pPr>
      <w:r>
        <w:rPr>
          <w:b/>
          <w:bCs/>
        </w:rPr>
        <w:t>2. Dochody</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sz w:val="22"/>
          <w:szCs w:val="22"/>
        </w:rPr>
        <w:lastRenderedPageBreak/>
        <w:t>Prognozy dochod</w:t>
      </w:r>
      <w:r>
        <w:rPr>
          <w:rFonts w:ascii="Times New Roman" w:hAnsi="Times New Roman" w:cs="Times New Roman"/>
          <w:sz w:val="22"/>
          <w:szCs w:val="22"/>
        </w:rPr>
        <w:t>ów Gminy Boleszkowice dokonano w podziałach merytorycznych, a następnie sklasyfikowano w podziały wymagane ustawowo. Podział merytoryczny został sporządzony za pomocą paragrafów klasyfikacji budżetowej i objął dochody bieżące i majątkowe.</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rFonts w:ascii="Times New Roman" w:hAnsi="Times New Roman" w:cs="Times New Roman"/>
          <w:sz w:val="22"/>
          <w:szCs w:val="22"/>
        </w:rPr>
        <w:t>Dochody bieżące prognozowano w podziale na:</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rFonts w:ascii="Times New Roman" w:hAnsi="Times New Roman" w:cs="Times New Roman"/>
          <w:sz w:val="22"/>
          <w:szCs w:val="22"/>
        </w:rPr>
      </w:pPr>
      <w:r>
        <w:rPr>
          <w:rFonts w:ascii="Times New Roman" w:hAnsi="Times New Roman" w:cs="Times New Roman"/>
          <w:sz w:val="22"/>
          <w:szCs w:val="22"/>
        </w:rPr>
        <w:tab/>
        <w:t xml:space="preserve">1. </w:t>
      </w:r>
      <w:proofErr w:type="gramStart"/>
      <w:r>
        <w:rPr>
          <w:rFonts w:ascii="Times New Roman" w:hAnsi="Times New Roman" w:cs="Times New Roman"/>
          <w:sz w:val="22"/>
          <w:szCs w:val="22"/>
        </w:rPr>
        <w:t>podatki</w:t>
      </w:r>
      <w:proofErr w:type="gramEnd"/>
      <w:r>
        <w:rPr>
          <w:rFonts w:ascii="Times New Roman" w:hAnsi="Times New Roman" w:cs="Times New Roman"/>
          <w:sz w:val="22"/>
          <w:szCs w:val="22"/>
        </w:rPr>
        <w:t xml:space="preserve"> i opłaty lokalne (w tym: podatek od nieruchomości);</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rFonts w:ascii="Times New Roman" w:hAnsi="Times New Roman" w:cs="Times New Roman"/>
          <w:sz w:val="22"/>
          <w:szCs w:val="22"/>
        </w:rPr>
      </w:pPr>
      <w:r>
        <w:rPr>
          <w:rFonts w:ascii="Times New Roman" w:hAnsi="Times New Roman" w:cs="Times New Roman"/>
          <w:sz w:val="22"/>
          <w:szCs w:val="22"/>
        </w:rPr>
        <w:tab/>
        <w:t xml:space="preserve">2. </w:t>
      </w:r>
      <w:proofErr w:type="gramStart"/>
      <w:r>
        <w:rPr>
          <w:rFonts w:ascii="Times New Roman" w:hAnsi="Times New Roman" w:cs="Times New Roman"/>
          <w:sz w:val="22"/>
          <w:szCs w:val="22"/>
        </w:rPr>
        <w:t>udział</w:t>
      </w:r>
      <w:proofErr w:type="gramEnd"/>
      <w:r>
        <w:rPr>
          <w:rFonts w:ascii="Times New Roman" w:hAnsi="Times New Roman" w:cs="Times New Roman"/>
          <w:sz w:val="22"/>
          <w:szCs w:val="22"/>
        </w:rPr>
        <w:t xml:space="preserve"> w podatkach centralnych (w tym PIT i CIT);</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rFonts w:ascii="Times New Roman" w:hAnsi="Times New Roman" w:cs="Times New Roman"/>
          <w:sz w:val="22"/>
          <w:szCs w:val="22"/>
        </w:rPr>
      </w:pPr>
      <w:r>
        <w:rPr>
          <w:rFonts w:ascii="Times New Roman" w:hAnsi="Times New Roman" w:cs="Times New Roman"/>
          <w:sz w:val="22"/>
          <w:szCs w:val="22"/>
        </w:rPr>
        <w:tab/>
        <w:t xml:space="preserve">3. </w:t>
      </w:r>
      <w:proofErr w:type="gramStart"/>
      <w:r>
        <w:rPr>
          <w:rFonts w:ascii="Times New Roman" w:hAnsi="Times New Roman" w:cs="Times New Roman"/>
          <w:sz w:val="22"/>
          <w:szCs w:val="22"/>
        </w:rPr>
        <w:t>subwencję</w:t>
      </w:r>
      <w:proofErr w:type="gramEnd"/>
      <w:r>
        <w:rPr>
          <w:rFonts w:ascii="Times New Roman" w:hAnsi="Times New Roman" w:cs="Times New Roman"/>
          <w:sz w:val="22"/>
          <w:szCs w:val="22"/>
        </w:rPr>
        <w:t xml:space="preserve"> ogólną;</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rFonts w:ascii="Times New Roman" w:hAnsi="Times New Roman" w:cs="Times New Roman"/>
          <w:sz w:val="22"/>
          <w:szCs w:val="22"/>
        </w:rPr>
      </w:pPr>
      <w:r>
        <w:rPr>
          <w:rFonts w:ascii="Times New Roman" w:hAnsi="Times New Roman" w:cs="Times New Roman"/>
          <w:sz w:val="22"/>
          <w:szCs w:val="22"/>
        </w:rPr>
        <w:tab/>
        <w:t xml:space="preserve">4. </w:t>
      </w:r>
      <w:proofErr w:type="gramStart"/>
      <w:r>
        <w:rPr>
          <w:rFonts w:ascii="Times New Roman" w:hAnsi="Times New Roman" w:cs="Times New Roman"/>
          <w:sz w:val="22"/>
          <w:szCs w:val="22"/>
        </w:rPr>
        <w:t>dotacje</w:t>
      </w:r>
      <w:proofErr w:type="gramEnd"/>
      <w:r>
        <w:rPr>
          <w:rFonts w:ascii="Times New Roman" w:hAnsi="Times New Roman" w:cs="Times New Roman"/>
          <w:sz w:val="22"/>
          <w:szCs w:val="22"/>
        </w:rPr>
        <w:t xml:space="preserve"> i środki przeznaczone na cele bieżące (na zadania zlecone i powierzone oraz na zadania własne);</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rFonts w:ascii="Times New Roman" w:hAnsi="Times New Roman" w:cs="Times New Roman"/>
          <w:sz w:val="22"/>
          <w:szCs w:val="22"/>
        </w:rPr>
        <w:tab/>
        <w:t xml:space="preserve">5. </w:t>
      </w:r>
      <w:proofErr w:type="gramStart"/>
      <w:r>
        <w:rPr>
          <w:rFonts w:ascii="Times New Roman" w:hAnsi="Times New Roman" w:cs="Times New Roman"/>
          <w:sz w:val="22"/>
          <w:szCs w:val="22"/>
        </w:rPr>
        <w:t>pozostałe</w:t>
      </w:r>
      <w:proofErr w:type="gramEnd"/>
      <w:r>
        <w:rPr>
          <w:rFonts w:ascii="Times New Roman" w:hAnsi="Times New Roman" w:cs="Times New Roman"/>
          <w:sz w:val="22"/>
          <w:szCs w:val="22"/>
        </w:rPr>
        <w:t xml:space="preserve"> dochody (w tym: grzywny i kary pieniężne, wpływy z usług, odsetki od środków na rachunkach bankowych).</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rFonts w:ascii="Times New Roman" w:hAnsi="Times New Roman" w:cs="Times New Roman"/>
          <w:sz w:val="22"/>
          <w:szCs w:val="22"/>
        </w:rPr>
        <w:t>Dochody majątkowe prognozowano w podziale na:</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rFonts w:ascii="Times New Roman" w:hAnsi="Times New Roman" w:cs="Times New Roman"/>
          <w:sz w:val="22"/>
          <w:szCs w:val="22"/>
        </w:rPr>
      </w:pPr>
      <w:r>
        <w:rPr>
          <w:rFonts w:ascii="Times New Roman" w:hAnsi="Times New Roman" w:cs="Times New Roman"/>
          <w:sz w:val="22"/>
          <w:szCs w:val="22"/>
        </w:rPr>
        <w:tab/>
        <w:t xml:space="preserve">1. </w:t>
      </w:r>
      <w:proofErr w:type="gramStart"/>
      <w:r>
        <w:rPr>
          <w:rFonts w:ascii="Times New Roman" w:hAnsi="Times New Roman" w:cs="Times New Roman"/>
          <w:sz w:val="22"/>
          <w:szCs w:val="22"/>
        </w:rPr>
        <w:t>dochody</w:t>
      </w:r>
      <w:proofErr w:type="gramEnd"/>
      <w:r>
        <w:rPr>
          <w:rFonts w:ascii="Times New Roman" w:hAnsi="Times New Roman" w:cs="Times New Roman"/>
          <w:sz w:val="22"/>
          <w:szCs w:val="22"/>
        </w:rPr>
        <w:t xml:space="preserve"> z majątku (w tym sprzedaż mienia);</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rFonts w:ascii="Times New Roman" w:hAnsi="Times New Roman" w:cs="Times New Roman"/>
          <w:sz w:val="22"/>
          <w:szCs w:val="22"/>
        </w:rPr>
      </w:pPr>
      <w:r>
        <w:rPr>
          <w:rFonts w:ascii="Times New Roman" w:hAnsi="Times New Roman" w:cs="Times New Roman"/>
          <w:sz w:val="22"/>
          <w:szCs w:val="22"/>
        </w:rPr>
        <w:tab/>
        <w:t xml:space="preserve">2. </w:t>
      </w:r>
      <w:proofErr w:type="gramStart"/>
      <w:r>
        <w:rPr>
          <w:rFonts w:ascii="Times New Roman" w:hAnsi="Times New Roman" w:cs="Times New Roman"/>
          <w:sz w:val="22"/>
          <w:szCs w:val="22"/>
        </w:rPr>
        <w:t>dotacje</w:t>
      </w:r>
      <w:proofErr w:type="gramEnd"/>
      <w:r>
        <w:rPr>
          <w:rFonts w:ascii="Times New Roman" w:hAnsi="Times New Roman" w:cs="Times New Roman"/>
          <w:sz w:val="22"/>
          <w:szCs w:val="22"/>
        </w:rPr>
        <w:t xml:space="preserve"> i środki przeznaczone na inwestycje;</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rFonts w:ascii="Times New Roman" w:hAnsi="Times New Roman" w:cs="Times New Roman"/>
          <w:sz w:val="22"/>
          <w:szCs w:val="22"/>
        </w:rPr>
        <w:tab/>
        <w:t xml:space="preserve">3. </w:t>
      </w:r>
      <w:proofErr w:type="gramStart"/>
      <w:r>
        <w:rPr>
          <w:rFonts w:ascii="Times New Roman" w:hAnsi="Times New Roman" w:cs="Times New Roman"/>
          <w:sz w:val="22"/>
          <w:szCs w:val="22"/>
        </w:rPr>
        <w:t>pozostałe</w:t>
      </w:r>
      <w:proofErr w:type="gramEnd"/>
      <w:r>
        <w:rPr>
          <w:rFonts w:ascii="Times New Roman" w:hAnsi="Times New Roman" w:cs="Times New Roman"/>
          <w:sz w:val="22"/>
          <w:szCs w:val="22"/>
        </w:rPr>
        <w:t xml:space="preserve"> dochody.</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b/>
          <w:bCs/>
          <w:sz w:val="22"/>
          <w:szCs w:val="22"/>
        </w:rPr>
        <w:t>2.1 Dochody bie</w:t>
      </w:r>
      <w:r>
        <w:rPr>
          <w:rFonts w:ascii="Times New Roman" w:hAnsi="Times New Roman" w:cs="Times New Roman"/>
          <w:b/>
          <w:bCs/>
          <w:sz w:val="22"/>
          <w:szCs w:val="22"/>
        </w:rPr>
        <w:t>żące</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0"/>
          <w:szCs w:val="20"/>
        </w:rPr>
      </w:pPr>
      <w:r>
        <w:rPr>
          <w:sz w:val="22"/>
          <w:szCs w:val="22"/>
        </w:rPr>
        <w:t>Uwzgl</w:t>
      </w:r>
      <w:r>
        <w:rPr>
          <w:rFonts w:ascii="Times New Roman" w:hAnsi="Times New Roman" w:cs="Times New Roman"/>
          <w:sz w:val="22"/>
          <w:szCs w:val="22"/>
        </w:rPr>
        <w:t xml:space="preserve">ędniając dotychczasowe kształtowanie się dochodów budżetu Gminy Boleszkowice oraz przewidywania na następne lata, w poszczególnych kategoriach dochodów bieżących posłużono się metodą indeksacji wartości </w:t>
      </w:r>
      <w:r>
        <w:rPr>
          <w:rFonts w:ascii="Times New Roman" w:hAnsi="Times New Roman" w:cs="Times New Roman"/>
          <w:sz w:val="20"/>
          <w:szCs w:val="20"/>
        </w:rPr>
        <w:t>bazowych o odpowiednio przypisany dla każdej kategorii budżetowej wskaźnik.</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b/>
          <w:bCs/>
          <w:sz w:val="22"/>
          <w:szCs w:val="22"/>
        </w:rPr>
        <w:t>Podatek od nieruchomo</w:t>
      </w:r>
      <w:r>
        <w:rPr>
          <w:rFonts w:ascii="Times New Roman" w:hAnsi="Times New Roman" w:cs="Times New Roman"/>
          <w:b/>
          <w:bCs/>
          <w:sz w:val="22"/>
          <w:szCs w:val="22"/>
        </w:rPr>
        <w:t>ści</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sz w:val="22"/>
          <w:szCs w:val="22"/>
        </w:rPr>
        <w:t>Stosownie do przepis</w:t>
      </w:r>
      <w:r>
        <w:rPr>
          <w:rFonts w:ascii="Times New Roman" w:hAnsi="Times New Roman" w:cs="Times New Roman"/>
          <w:sz w:val="22"/>
          <w:szCs w:val="22"/>
        </w:rPr>
        <w:t>ów ustawy o podatkach i opłatach lokalnych wysokość stawek podatku od nieruchomości nie mogą przekroczyć górnych granic stawek kwotowych ogłoszonych przez Ministra Finansów. Wpływy z tytułu podatku od nieruchomości na 2016 rok zaplanowano w oparciu o uchwałę nr XI/66/2015 w sprawie ustalenia rocznych stawek podatku od nieruchomości na 2016 rok.</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rFonts w:ascii="Times New Roman" w:hAnsi="Times New Roman" w:cs="Times New Roman"/>
          <w:sz w:val="22"/>
          <w:szCs w:val="22"/>
        </w:rPr>
        <w:t>W latach następnych zakłada się wzrostowy trend wpływów z tego podatku i zwiększanie dochodów będących konsekwencją planowanego wzrostu stawek podatkowych oraz corocznego przyrostu przedmiotów opodatkowania związanych z prowadzeniem działalności gospodarczej oraz budynków mieszkalnych.</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rFonts w:ascii="Times New Roman" w:hAnsi="Times New Roman" w:cs="Times New Roman"/>
          <w:sz w:val="22"/>
          <w:szCs w:val="22"/>
        </w:rPr>
      </w:pPr>
      <w:r>
        <w:rPr>
          <w:b/>
          <w:bCs/>
          <w:sz w:val="22"/>
          <w:szCs w:val="22"/>
        </w:rPr>
        <w:t>Udzia</w:t>
      </w:r>
      <w:r>
        <w:rPr>
          <w:rFonts w:ascii="Times New Roman" w:hAnsi="Times New Roman" w:cs="Times New Roman"/>
          <w:b/>
          <w:bCs/>
          <w:sz w:val="22"/>
          <w:szCs w:val="22"/>
        </w:rPr>
        <w:t>ł w podatkach centralnych</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sz w:val="22"/>
          <w:szCs w:val="22"/>
        </w:rPr>
        <w:t xml:space="preserve">Jako, </w:t>
      </w:r>
      <w:r>
        <w:rPr>
          <w:rFonts w:ascii="Times New Roman" w:hAnsi="Times New Roman" w:cs="Times New Roman"/>
          <w:sz w:val="22"/>
          <w:szCs w:val="22"/>
        </w:rPr>
        <w:t>że ta grupa dochodów pozostaje w bardzo silnym związku z sytuacją makroekonomiczną kraju, przy szacowaniu dochodów z tytułu udziałów w podatku dochodowym od osób fizycznych (PIT) oraz od osób prawnych (CIT) w latach 2016-2026 wzięto pod uwagę założony wskaźnik PKB.</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rFonts w:ascii="Times New Roman" w:hAnsi="Times New Roman" w:cs="Times New Roman"/>
          <w:sz w:val="22"/>
          <w:szCs w:val="22"/>
        </w:rPr>
      </w:pPr>
      <w:r>
        <w:rPr>
          <w:b/>
          <w:bCs/>
          <w:sz w:val="22"/>
          <w:szCs w:val="22"/>
        </w:rPr>
        <w:t>Subwencje i dotacje na zadania bie</w:t>
      </w:r>
      <w:r>
        <w:rPr>
          <w:rFonts w:ascii="Times New Roman" w:hAnsi="Times New Roman" w:cs="Times New Roman"/>
          <w:b/>
          <w:bCs/>
          <w:sz w:val="22"/>
          <w:szCs w:val="22"/>
        </w:rPr>
        <w:t>żące</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sz w:val="22"/>
          <w:szCs w:val="22"/>
        </w:rPr>
        <w:t>Planowan</w:t>
      </w:r>
      <w:r>
        <w:rPr>
          <w:rFonts w:ascii="Times New Roman" w:hAnsi="Times New Roman" w:cs="Times New Roman"/>
          <w:sz w:val="22"/>
          <w:szCs w:val="22"/>
        </w:rPr>
        <w:t>ą kwotę subwencji ogólnej oraz dotacji celowych z budżetu państwa (innych niż środki na dofinansowanie realizacji projektów europejskich) na 2016 rok przyjęto w oparciu o informacje przekazane przez Ministra Finansów. W kolejnych latach prognozy założono wzrost kwoty otrzymywanych dotychczas cyklicznych subwencji i dotacji celowych z budżetu państwa w oparciu o prognozowany wskaźnik PKB.</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b/>
          <w:bCs/>
          <w:sz w:val="22"/>
          <w:szCs w:val="22"/>
        </w:rPr>
        <w:t>2.2 Dochody maj</w:t>
      </w:r>
      <w:r>
        <w:rPr>
          <w:rFonts w:ascii="Times New Roman" w:hAnsi="Times New Roman" w:cs="Times New Roman"/>
          <w:b/>
          <w:bCs/>
          <w:sz w:val="22"/>
          <w:szCs w:val="22"/>
        </w:rPr>
        <w:t>ątkowe</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sz w:val="22"/>
          <w:szCs w:val="22"/>
        </w:rPr>
        <w:lastRenderedPageBreak/>
        <w:t>Waloryzacji o wska</w:t>
      </w:r>
      <w:r>
        <w:rPr>
          <w:rFonts w:ascii="Times New Roman" w:hAnsi="Times New Roman" w:cs="Times New Roman"/>
          <w:sz w:val="22"/>
          <w:szCs w:val="22"/>
        </w:rPr>
        <w:t>źniki makroekonomiczne nie poddano dochodów o charakterze majątkowym. Dochody majątkowe, w tym przede wszystkim dochody ze sprzedaży majątku pozbawione są regularności, a ich poziom uzależniony jest od czynników niezależnych, jak np. koniunktura na rynku nieruchomości.</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rFonts w:ascii="Times New Roman" w:hAnsi="Times New Roman" w:cs="Times New Roman"/>
          <w:sz w:val="22"/>
          <w:szCs w:val="22"/>
        </w:rPr>
        <w:t>W 2016 roku dochody ze sprzedaży majątku zaplanowano na poziomie 1 000 000,00 zł. Bazując na informacjach o wykonaniu dochodów majątkowych w poprzednich latach, należy stwierdzić, że zaplanowana kwota jest realna, ryzyko ich niewykonania jest minimalne, a sama sprzedaż mienia została zaplanowana przy dochowaniu najwyższej staranności.</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rFonts w:ascii="Times New Roman" w:hAnsi="Times New Roman" w:cs="Times New Roman"/>
          <w:sz w:val="22"/>
          <w:szCs w:val="22"/>
        </w:rPr>
        <w:t>Wartość zaplanowanych w 2016 roku dochodów ze sprzedaży ma zapewnić sprzedaż nieruchomości, których wykaz zaprezentowano w poniższej tabeli.</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Times New Roman" w:hAnsi="Times New Roman" w:cs="Times New Roman"/>
          <w:sz w:val="18"/>
          <w:szCs w:val="18"/>
        </w:rPr>
      </w:pPr>
      <w:r>
        <w:rPr>
          <w:b/>
          <w:bCs/>
          <w:sz w:val="18"/>
          <w:szCs w:val="18"/>
        </w:rPr>
        <w:t>Tabela 3. Wykaz nieruchomo</w:t>
      </w:r>
      <w:r>
        <w:rPr>
          <w:rFonts w:ascii="Times New Roman" w:hAnsi="Times New Roman" w:cs="Times New Roman"/>
          <w:b/>
          <w:bCs/>
          <w:sz w:val="18"/>
          <w:szCs w:val="18"/>
        </w:rPr>
        <w:t>ści planowanych do sprzedaży w 2016 roku</w:t>
      </w:r>
    </w:p>
    <w:tbl>
      <w:tblPr>
        <w:tblW w:w="0" w:type="auto"/>
        <w:tblInd w:w="-5" w:type="dxa"/>
        <w:tblLayout w:type="fixed"/>
        <w:tblCellMar>
          <w:left w:w="10" w:type="dxa"/>
          <w:right w:w="10" w:type="dxa"/>
        </w:tblCellMar>
        <w:tblLook w:val="0000" w:firstRow="0" w:lastRow="0" w:firstColumn="0" w:lastColumn="0" w:noHBand="0" w:noVBand="0"/>
      </w:tblPr>
      <w:tblGrid>
        <w:gridCol w:w="1843"/>
        <w:gridCol w:w="3402"/>
        <w:gridCol w:w="1559"/>
        <w:gridCol w:w="1843"/>
      </w:tblGrid>
      <w:tr w:rsidR="00875BCB">
        <w:tc>
          <w:tcPr>
            <w:tcW w:w="1843" w:type="dxa"/>
            <w:tcBorders>
              <w:top w:val="single" w:sz="4" w:space="0" w:color="auto"/>
              <w:left w:val="single" w:sz="4" w:space="0" w:color="auto"/>
              <w:bottom w:val="single" w:sz="4" w:space="0" w:color="auto"/>
              <w:right w:val="single" w:sz="4" w:space="0" w:color="auto"/>
            </w:tcBorders>
            <w:vAlign w:val="bottom"/>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sz w:val="20"/>
                <w:szCs w:val="20"/>
              </w:rPr>
              <w:t>Po</w:t>
            </w:r>
            <w:r>
              <w:rPr>
                <w:rFonts w:ascii="Times New Roman" w:hAnsi="Times New Roman" w:cs="Times New Roman"/>
                <w:sz w:val="20"/>
                <w:szCs w:val="20"/>
              </w:rPr>
              <w:t>łożenie nieruchomości</w:t>
            </w:r>
          </w:p>
        </w:tc>
        <w:tc>
          <w:tcPr>
            <w:tcW w:w="3402" w:type="dxa"/>
            <w:tcBorders>
              <w:top w:val="single" w:sz="4" w:space="0" w:color="auto"/>
              <w:left w:val="single" w:sz="4" w:space="0" w:color="auto"/>
              <w:bottom w:val="single" w:sz="4" w:space="0" w:color="auto"/>
              <w:right w:val="single" w:sz="4" w:space="0" w:color="auto"/>
            </w:tcBorders>
            <w:vAlign w:val="bottom"/>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Nr działki i obręb</w:t>
            </w:r>
          </w:p>
        </w:tc>
        <w:tc>
          <w:tcPr>
            <w:tcW w:w="1559" w:type="dxa"/>
            <w:tcBorders>
              <w:top w:val="single" w:sz="4" w:space="0" w:color="auto"/>
              <w:left w:val="single" w:sz="4" w:space="0" w:color="auto"/>
              <w:bottom w:val="single" w:sz="4" w:space="0" w:color="auto"/>
              <w:right w:val="single" w:sz="4" w:space="0" w:color="auto"/>
            </w:tcBorders>
            <w:vAlign w:val="bottom"/>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Powierzchnia [ha]</w:t>
            </w:r>
          </w:p>
        </w:tc>
        <w:tc>
          <w:tcPr>
            <w:tcW w:w="1843" w:type="dxa"/>
            <w:tcBorders>
              <w:top w:val="single" w:sz="4" w:space="0" w:color="auto"/>
              <w:left w:val="single" w:sz="4" w:space="0" w:color="auto"/>
              <w:bottom w:val="single" w:sz="4" w:space="0" w:color="auto"/>
              <w:right w:val="single" w:sz="4" w:space="0" w:color="auto"/>
            </w:tcBorders>
            <w:vAlign w:val="bottom"/>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Planowany dochód</w:t>
            </w:r>
          </w:p>
        </w:tc>
      </w:tr>
      <w:tr w:rsidR="00875BCB">
        <w:tc>
          <w:tcPr>
            <w:tcW w:w="1843" w:type="dxa"/>
            <w:tcBorders>
              <w:top w:val="single" w:sz="4" w:space="0" w:color="auto"/>
              <w:left w:val="single" w:sz="4" w:space="0" w:color="auto"/>
              <w:bottom w:val="single" w:sz="4" w:space="0" w:color="auto"/>
              <w:right w:val="single" w:sz="4" w:space="0" w:color="auto"/>
            </w:tcBorders>
            <w:vAlign w:val="bottom"/>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Porzecze</w:t>
            </w:r>
          </w:p>
        </w:tc>
        <w:tc>
          <w:tcPr>
            <w:tcW w:w="3402" w:type="dxa"/>
            <w:tcBorders>
              <w:top w:val="single" w:sz="4" w:space="0" w:color="auto"/>
              <w:left w:val="single" w:sz="4" w:space="0" w:color="auto"/>
              <w:bottom w:val="single" w:sz="4" w:space="0" w:color="auto"/>
              <w:right w:val="single" w:sz="4" w:space="0" w:color="auto"/>
            </w:tcBorders>
            <w:vAlign w:val="bottom"/>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 xml:space="preserve">97 - przy drodze wojewódzkiej przy posesji Państwa </w:t>
            </w:r>
            <w:proofErr w:type="spellStart"/>
            <w:r>
              <w:rPr>
                <w:rFonts w:ascii="Times New Roman" w:hAnsi="Times New Roman" w:cs="Times New Roman"/>
                <w:sz w:val="20"/>
                <w:szCs w:val="20"/>
              </w:rPr>
              <w:t>Hawryszków</w:t>
            </w:r>
            <w:proofErr w:type="spellEnd"/>
          </w:p>
        </w:tc>
        <w:tc>
          <w:tcPr>
            <w:tcW w:w="1559"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0,0259</w:t>
            </w:r>
          </w:p>
        </w:tc>
        <w:tc>
          <w:tcPr>
            <w:tcW w:w="1843"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5.000</w:t>
            </w:r>
          </w:p>
        </w:tc>
      </w:tr>
      <w:tr w:rsidR="00875BCB">
        <w:tc>
          <w:tcPr>
            <w:tcW w:w="1843" w:type="dxa"/>
            <w:tcBorders>
              <w:top w:val="single" w:sz="4" w:space="0" w:color="auto"/>
              <w:left w:val="single" w:sz="4" w:space="0" w:color="auto"/>
              <w:bottom w:val="single" w:sz="4" w:space="0" w:color="auto"/>
              <w:right w:val="single" w:sz="4" w:space="0" w:color="auto"/>
            </w:tcBorders>
            <w:vAlign w:val="bottom"/>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proofErr w:type="spellStart"/>
            <w:r>
              <w:rPr>
                <w:rFonts w:ascii="Times New Roman" w:hAnsi="Times New Roman" w:cs="Times New Roman"/>
                <w:sz w:val="20"/>
                <w:szCs w:val="20"/>
              </w:rPr>
              <w:t>Gudzisz</w:t>
            </w:r>
            <w:proofErr w:type="spellEnd"/>
          </w:p>
        </w:tc>
        <w:tc>
          <w:tcPr>
            <w:tcW w:w="3402" w:type="dxa"/>
            <w:tcBorders>
              <w:top w:val="single" w:sz="4" w:space="0" w:color="auto"/>
              <w:left w:val="single" w:sz="4" w:space="0" w:color="auto"/>
              <w:bottom w:val="single" w:sz="4" w:space="0" w:color="auto"/>
              <w:right w:val="single" w:sz="4" w:space="0" w:color="auto"/>
            </w:tcBorders>
            <w:vAlign w:val="bottom"/>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105/8 – była szkoła podstawowa</w:t>
            </w:r>
          </w:p>
        </w:tc>
        <w:tc>
          <w:tcPr>
            <w:tcW w:w="1559"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0,6589</w:t>
            </w:r>
          </w:p>
        </w:tc>
        <w:tc>
          <w:tcPr>
            <w:tcW w:w="1843"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180.000</w:t>
            </w:r>
          </w:p>
        </w:tc>
      </w:tr>
      <w:tr w:rsidR="00875BCB">
        <w:tc>
          <w:tcPr>
            <w:tcW w:w="1843" w:type="dxa"/>
            <w:tcBorders>
              <w:top w:val="single" w:sz="4" w:space="0" w:color="auto"/>
              <w:left w:val="single" w:sz="4" w:space="0" w:color="auto"/>
              <w:bottom w:val="single" w:sz="4" w:space="0" w:color="auto"/>
              <w:right w:val="single" w:sz="4" w:space="0" w:color="auto"/>
            </w:tcBorders>
            <w:vAlign w:val="bottom"/>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Namyślin</w:t>
            </w:r>
          </w:p>
        </w:tc>
        <w:tc>
          <w:tcPr>
            <w:tcW w:w="3402" w:type="dxa"/>
            <w:tcBorders>
              <w:top w:val="single" w:sz="4" w:space="0" w:color="auto"/>
              <w:left w:val="single" w:sz="4" w:space="0" w:color="auto"/>
              <w:bottom w:val="single" w:sz="4" w:space="0" w:color="auto"/>
              <w:right w:val="single" w:sz="4" w:space="0" w:color="auto"/>
            </w:tcBorders>
            <w:vAlign w:val="bottom"/>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233/5 – za pierwszą linią domów przy drodze wojewódzkiej</w:t>
            </w:r>
          </w:p>
        </w:tc>
        <w:tc>
          <w:tcPr>
            <w:tcW w:w="1559"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0,1802</w:t>
            </w:r>
          </w:p>
        </w:tc>
        <w:tc>
          <w:tcPr>
            <w:tcW w:w="1843"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30.000</w:t>
            </w:r>
          </w:p>
        </w:tc>
      </w:tr>
      <w:tr w:rsidR="00875BCB">
        <w:tc>
          <w:tcPr>
            <w:tcW w:w="1843" w:type="dxa"/>
            <w:tcBorders>
              <w:top w:val="single" w:sz="4" w:space="0" w:color="auto"/>
              <w:left w:val="single" w:sz="4" w:space="0" w:color="auto"/>
              <w:bottom w:val="single" w:sz="4" w:space="0" w:color="auto"/>
              <w:right w:val="single" w:sz="4" w:space="0" w:color="auto"/>
            </w:tcBorders>
            <w:vAlign w:val="bottom"/>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Boleszkowice</w:t>
            </w:r>
          </w:p>
        </w:tc>
        <w:tc>
          <w:tcPr>
            <w:tcW w:w="3402" w:type="dxa"/>
            <w:tcBorders>
              <w:top w:val="single" w:sz="4" w:space="0" w:color="auto"/>
              <w:left w:val="single" w:sz="4" w:space="0" w:color="auto"/>
              <w:bottom w:val="single" w:sz="4" w:space="0" w:color="auto"/>
              <w:right w:val="single" w:sz="4" w:space="0" w:color="auto"/>
            </w:tcBorders>
            <w:vAlign w:val="bottom"/>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1652/2 – przy drodze krajowej nr 31</w:t>
            </w:r>
          </w:p>
        </w:tc>
        <w:tc>
          <w:tcPr>
            <w:tcW w:w="1559"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1,5936</w:t>
            </w:r>
          </w:p>
        </w:tc>
        <w:tc>
          <w:tcPr>
            <w:tcW w:w="1843"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250.000</w:t>
            </w:r>
          </w:p>
        </w:tc>
      </w:tr>
      <w:tr w:rsidR="00875BCB">
        <w:tc>
          <w:tcPr>
            <w:tcW w:w="1843" w:type="dxa"/>
            <w:tcBorders>
              <w:top w:val="single" w:sz="4" w:space="0" w:color="auto"/>
              <w:left w:val="single" w:sz="4" w:space="0" w:color="auto"/>
              <w:bottom w:val="single" w:sz="4" w:space="0" w:color="auto"/>
              <w:right w:val="single" w:sz="4" w:space="0" w:color="auto"/>
            </w:tcBorders>
            <w:vAlign w:val="bottom"/>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Boleszkowice</w:t>
            </w:r>
          </w:p>
        </w:tc>
        <w:tc>
          <w:tcPr>
            <w:tcW w:w="3402" w:type="dxa"/>
            <w:tcBorders>
              <w:top w:val="single" w:sz="4" w:space="0" w:color="auto"/>
              <w:left w:val="single" w:sz="4" w:space="0" w:color="auto"/>
              <w:bottom w:val="single" w:sz="4" w:space="0" w:color="auto"/>
              <w:right w:val="single" w:sz="4" w:space="0" w:color="auto"/>
            </w:tcBorders>
            <w:vAlign w:val="bottom"/>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1353/58 – przy ul. Osadników</w:t>
            </w:r>
          </w:p>
        </w:tc>
        <w:tc>
          <w:tcPr>
            <w:tcW w:w="1559"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0,1543</w:t>
            </w:r>
          </w:p>
        </w:tc>
        <w:tc>
          <w:tcPr>
            <w:tcW w:w="1843"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20.000</w:t>
            </w:r>
          </w:p>
        </w:tc>
      </w:tr>
      <w:tr w:rsidR="00875BCB">
        <w:tc>
          <w:tcPr>
            <w:tcW w:w="1843" w:type="dxa"/>
            <w:tcBorders>
              <w:top w:val="single" w:sz="4" w:space="0" w:color="auto"/>
              <w:left w:val="single" w:sz="4" w:space="0" w:color="auto"/>
              <w:bottom w:val="single" w:sz="4" w:space="0" w:color="auto"/>
              <w:right w:val="single" w:sz="4" w:space="0" w:color="auto"/>
            </w:tcBorders>
            <w:vAlign w:val="bottom"/>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Chwarszczany</w:t>
            </w:r>
          </w:p>
        </w:tc>
        <w:tc>
          <w:tcPr>
            <w:tcW w:w="3402" w:type="dxa"/>
            <w:tcBorders>
              <w:top w:val="single" w:sz="4" w:space="0" w:color="auto"/>
              <w:left w:val="single" w:sz="4" w:space="0" w:color="auto"/>
              <w:bottom w:val="single" w:sz="4" w:space="0" w:color="auto"/>
              <w:right w:val="single" w:sz="4" w:space="0" w:color="auto"/>
            </w:tcBorders>
            <w:vAlign w:val="bottom"/>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399/1</w:t>
            </w:r>
          </w:p>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399/2</w:t>
            </w:r>
          </w:p>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399/3</w:t>
            </w:r>
          </w:p>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399/4</w:t>
            </w:r>
          </w:p>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399/5</w:t>
            </w:r>
          </w:p>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Przy drodze wojewódzkiej, przy boisku sportowym</w:t>
            </w:r>
          </w:p>
        </w:tc>
        <w:tc>
          <w:tcPr>
            <w:tcW w:w="1559"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0,1144</w:t>
            </w:r>
          </w:p>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0,1075</w:t>
            </w:r>
          </w:p>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0,1072</w:t>
            </w:r>
          </w:p>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0,1091</w:t>
            </w:r>
          </w:p>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0,1073</w:t>
            </w:r>
          </w:p>
        </w:tc>
        <w:tc>
          <w:tcPr>
            <w:tcW w:w="1843"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p>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p>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125.000</w:t>
            </w:r>
          </w:p>
        </w:tc>
      </w:tr>
      <w:tr w:rsidR="00875BCB">
        <w:tc>
          <w:tcPr>
            <w:tcW w:w="1843" w:type="dxa"/>
            <w:tcBorders>
              <w:top w:val="single" w:sz="4" w:space="0" w:color="auto"/>
              <w:left w:val="single" w:sz="4" w:space="0" w:color="auto"/>
              <w:bottom w:val="single" w:sz="4" w:space="0" w:color="auto"/>
              <w:right w:val="single" w:sz="4" w:space="0" w:color="auto"/>
            </w:tcBorders>
            <w:vAlign w:val="bottom"/>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Namyślin</w:t>
            </w:r>
          </w:p>
        </w:tc>
        <w:tc>
          <w:tcPr>
            <w:tcW w:w="3402" w:type="dxa"/>
            <w:tcBorders>
              <w:top w:val="single" w:sz="4" w:space="0" w:color="auto"/>
              <w:left w:val="single" w:sz="4" w:space="0" w:color="auto"/>
              <w:bottom w:val="single" w:sz="4" w:space="0" w:color="auto"/>
              <w:right w:val="single" w:sz="4" w:space="0" w:color="auto"/>
            </w:tcBorders>
            <w:vAlign w:val="bottom"/>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110/14</w:t>
            </w:r>
          </w:p>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110/15</w:t>
            </w:r>
          </w:p>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599/3</w:t>
            </w:r>
          </w:p>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599/4</w:t>
            </w:r>
          </w:p>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599/5</w:t>
            </w:r>
          </w:p>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Przy drodze Namyślin-Chlewice</w:t>
            </w:r>
          </w:p>
        </w:tc>
        <w:tc>
          <w:tcPr>
            <w:tcW w:w="1559"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0,0886</w:t>
            </w:r>
          </w:p>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0,0936</w:t>
            </w:r>
          </w:p>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0,1117</w:t>
            </w:r>
          </w:p>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0,1162</w:t>
            </w:r>
          </w:p>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0,1177</w:t>
            </w:r>
          </w:p>
        </w:tc>
        <w:tc>
          <w:tcPr>
            <w:tcW w:w="1843"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p>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100.000</w:t>
            </w:r>
          </w:p>
        </w:tc>
      </w:tr>
      <w:tr w:rsidR="00875BCB">
        <w:tc>
          <w:tcPr>
            <w:tcW w:w="1843" w:type="dxa"/>
            <w:tcBorders>
              <w:top w:val="single" w:sz="4" w:space="0" w:color="auto"/>
              <w:left w:val="single" w:sz="4" w:space="0" w:color="auto"/>
              <w:bottom w:val="single" w:sz="4" w:space="0" w:color="auto"/>
              <w:right w:val="single" w:sz="4" w:space="0" w:color="auto"/>
            </w:tcBorders>
            <w:vAlign w:val="bottom"/>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Chlewice</w:t>
            </w:r>
          </w:p>
        </w:tc>
        <w:tc>
          <w:tcPr>
            <w:tcW w:w="3402" w:type="dxa"/>
            <w:tcBorders>
              <w:top w:val="single" w:sz="4" w:space="0" w:color="auto"/>
              <w:left w:val="single" w:sz="4" w:space="0" w:color="auto"/>
              <w:bottom w:val="single" w:sz="4" w:space="0" w:color="auto"/>
              <w:right w:val="single" w:sz="4" w:space="0" w:color="auto"/>
            </w:tcBorders>
            <w:vAlign w:val="bottom"/>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199/1, 197, 196, 193/1, 193/2, 192/1, 189/1, 213/1, 212/1, 211/1, 210/1, 209/1, 222/1, 220/1, 130, 129, 128, 127, 125/1, 222/21, 222/22</w:t>
            </w:r>
          </w:p>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Grunty rolne i łąki przy rzece Odra</w:t>
            </w:r>
          </w:p>
        </w:tc>
        <w:tc>
          <w:tcPr>
            <w:tcW w:w="1559"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p>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p>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23,5 ha</w:t>
            </w:r>
          </w:p>
        </w:tc>
        <w:tc>
          <w:tcPr>
            <w:tcW w:w="1843"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p>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p>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290.000</w:t>
            </w:r>
          </w:p>
        </w:tc>
      </w:tr>
      <w:tr w:rsidR="00875BCB">
        <w:tc>
          <w:tcPr>
            <w:tcW w:w="6804" w:type="dxa"/>
            <w:gridSpan w:val="3"/>
            <w:tcBorders>
              <w:top w:val="single" w:sz="4" w:space="0" w:color="auto"/>
              <w:left w:val="single" w:sz="4" w:space="0" w:color="auto"/>
              <w:bottom w:val="single" w:sz="4" w:space="0" w:color="auto"/>
              <w:right w:val="single" w:sz="4" w:space="0" w:color="auto"/>
            </w:tcBorders>
            <w:vAlign w:val="bottom"/>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RAZEM</w:t>
            </w:r>
          </w:p>
        </w:tc>
        <w:tc>
          <w:tcPr>
            <w:tcW w:w="1843"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1.000.000</w:t>
            </w:r>
          </w:p>
        </w:tc>
      </w:tr>
    </w:tbl>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16"/>
          <w:szCs w:val="16"/>
        </w:rPr>
      </w:pPr>
      <w:r>
        <w:rPr>
          <w:rFonts w:ascii="Times New Roman" w:hAnsi="Times New Roman" w:cs="Times New Roman"/>
          <w:sz w:val="16"/>
          <w:szCs w:val="16"/>
        </w:rPr>
        <w:t>Źródło: Opracowanie własne.</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b/>
          <w:bCs/>
        </w:rPr>
      </w:pP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rPr>
      </w:pPr>
      <w:r>
        <w:rPr>
          <w:b/>
          <w:bCs/>
        </w:rPr>
        <w:t>3. Wydatki</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sz w:val="22"/>
          <w:szCs w:val="22"/>
        </w:rPr>
        <w:t>Prognozy wydatk</w:t>
      </w:r>
      <w:r>
        <w:rPr>
          <w:rFonts w:ascii="Times New Roman" w:hAnsi="Times New Roman" w:cs="Times New Roman"/>
          <w:sz w:val="22"/>
          <w:szCs w:val="22"/>
        </w:rPr>
        <w:t>ów Gminy Boleszkowice dokonano w podziale na kategorie wydatków bieżących i wydatków majątkowych.</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b/>
          <w:bCs/>
          <w:sz w:val="22"/>
          <w:szCs w:val="22"/>
        </w:rPr>
        <w:t>3.1 Wydatki bie</w:t>
      </w:r>
      <w:r>
        <w:rPr>
          <w:rFonts w:ascii="Times New Roman" w:hAnsi="Times New Roman" w:cs="Times New Roman"/>
          <w:b/>
          <w:bCs/>
          <w:sz w:val="22"/>
          <w:szCs w:val="22"/>
        </w:rPr>
        <w:t>żące</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sz w:val="22"/>
          <w:szCs w:val="22"/>
        </w:rPr>
        <w:t>Wydatki bie</w:t>
      </w:r>
      <w:r>
        <w:rPr>
          <w:rFonts w:ascii="Times New Roman" w:hAnsi="Times New Roman" w:cs="Times New Roman"/>
          <w:sz w:val="22"/>
          <w:szCs w:val="22"/>
        </w:rPr>
        <w:t>żące prognozowano w podziale na:</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rFonts w:ascii="Times New Roman" w:hAnsi="Times New Roman" w:cs="Times New Roman"/>
          <w:sz w:val="22"/>
          <w:szCs w:val="22"/>
        </w:rPr>
      </w:pPr>
      <w:r>
        <w:rPr>
          <w:rFonts w:ascii="Times New Roman" w:hAnsi="Times New Roman" w:cs="Times New Roman"/>
          <w:sz w:val="22"/>
          <w:szCs w:val="22"/>
        </w:rPr>
        <w:lastRenderedPageBreak/>
        <w:tab/>
        <w:t>1) wydatki na poręczenia i gwarancje;</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rFonts w:ascii="Times New Roman" w:hAnsi="Times New Roman" w:cs="Times New Roman"/>
          <w:sz w:val="22"/>
          <w:szCs w:val="22"/>
        </w:rPr>
      </w:pPr>
      <w:r>
        <w:rPr>
          <w:rFonts w:ascii="Times New Roman" w:hAnsi="Times New Roman" w:cs="Times New Roman"/>
          <w:sz w:val="22"/>
          <w:szCs w:val="22"/>
        </w:rPr>
        <w:tab/>
        <w:t>2) wydatki związane z obsługą zadłużenia, w tym odsetki i dyskonto;</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rFonts w:ascii="Times New Roman" w:hAnsi="Times New Roman" w:cs="Times New Roman"/>
          <w:sz w:val="22"/>
          <w:szCs w:val="22"/>
        </w:rPr>
      </w:pPr>
      <w:r>
        <w:rPr>
          <w:rFonts w:ascii="Times New Roman" w:hAnsi="Times New Roman" w:cs="Times New Roman"/>
          <w:sz w:val="22"/>
          <w:szCs w:val="22"/>
        </w:rPr>
        <w:tab/>
        <w:t>3) wynagrodzenia i składki od nich naliczane;</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rFonts w:ascii="Times New Roman" w:hAnsi="Times New Roman" w:cs="Times New Roman"/>
          <w:sz w:val="22"/>
          <w:szCs w:val="22"/>
        </w:rPr>
        <w:tab/>
        <w:t>4) pozostałe wydatki bieżące.</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rFonts w:ascii="Times New Roman" w:hAnsi="Times New Roman" w:cs="Times New Roman"/>
          <w:sz w:val="22"/>
          <w:szCs w:val="22"/>
        </w:rPr>
        <w:t>Zgodnie z założeniami przyjętymi przy prognozie dochodów, dla wydatków bieżących w roku 2016 przyjęto projekt budżetu. W latach 2017-2026 dokonano indeksacji o wagi wskaźników inflacji i PKB. O ile w przypadku wydatków na wynagrodzenia, pochodnych od wynagrodzeń i pozostałych wydatków bieżących możliwość zastosowania indeksacji jest uzasadniona, o tyle wydatki związane z obsługą długu są ściśle uzależnione od zawartych w umowach kredytowych, pożyczkowych i emisji obligacji postanowień.</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b/>
          <w:bCs/>
          <w:sz w:val="22"/>
          <w:szCs w:val="22"/>
        </w:rPr>
        <w:t>3.2 Wydatki maj</w:t>
      </w:r>
      <w:r>
        <w:rPr>
          <w:rFonts w:ascii="Times New Roman" w:hAnsi="Times New Roman" w:cs="Times New Roman"/>
          <w:b/>
          <w:bCs/>
          <w:sz w:val="22"/>
          <w:szCs w:val="22"/>
        </w:rPr>
        <w:t>ątkowe</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sz w:val="22"/>
          <w:szCs w:val="22"/>
        </w:rPr>
        <w:t>Wydatki maj</w:t>
      </w:r>
      <w:r>
        <w:rPr>
          <w:rFonts w:ascii="Times New Roman" w:hAnsi="Times New Roman" w:cs="Times New Roman"/>
          <w:sz w:val="22"/>
          <w:szCs w:val="22"/>
        </w:rPr>
        <w:t>ątkowe obejmują przede wszystkim przedsięwzięcia inwestycyjne, które ujęto w załączniku nr 2 do Wieloletniej Prognozy Finansowej Gminy Boleszkowice na lata 2016-2019. W kolejnych latach wydatki majątkowe zostały zaplanowane tak aby pokryły pozostałą po spłacie zobowiązań część tzw. wolnych środków.</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rFonts w:ascii="Times New Roman" w:hAnsi="Times New Roman" w:cs="Times New Roman"/>
          <w:sz w:val="22"/>
          <w:szCs w:val="22"/>
        </w:rPr>
        <w:t>Oprócz przedsięwzięć przewidzianych w WPF zaplanowano niezbędne wydatki, takie jak: dotacje celowe dla JST wynikające z ustawy o ochronie gruntów rolnych i leśnych, wydatki na pozyskanie gruntów pod inwestycje drogowe itp.</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rPr>
      </w:pPr>
      <w:r>
        <w:rPr>
          <w:b/>
          <w:bCs/>
        </w:rPr>
        <w:t>4. Wynik bud</w:t>
      </w:r>
      <w:r>
        <w:rPr>
          <w:rFonts w:ascii="Times New Roman" w:hAnsi="Times New Roman" w:cs="Times New Roman"/>
          <w:b/>
          <w:bCs/>
        </w:rPr>
        <w:t>żetu</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sz w:val="22"/>
          <w:szCs w:val="22"/>
        </w:rPr>
        <w:t>Wynik bud</w:t>
      </w:r>
      <w:r>
        <w:rPr>
          <w:rFonts w:ascii="Times New Roman" w:hAnsi="Times New Roman" w:cs="Times New Roman"/>
          <w:sz w:val="22"/>
          <w:szCs w:val="22"/>
        </w:rPr>
        <w:t>żetu w prognozowanym okresie jest ściśle powiązany z przyjętymi założeniami do prognozy dochodów i wydatków. Fakt prognozowania w oparciu o dane makroekonomiczne o niewielkiej zmienności powoduje zrównoważony i stabilny wzrost dochodów oraz wydatków bieżących, któremu można przypisać cechy statystyczne. W całym prognozowanym okresie utrzymana została relacja z art. 242 (brak deficytu bieżącego). Ponadto wynik finansowy budżetu został sprowadzony do 0 w całym badanym okresie.</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Times New Roman" w:hAnsi="Times New Roman" w:cs="Times New Roman"/>
          <w:sz w:val="18"/>
          <w:szCs w:val="18"/>
        </w:rPr>
      </w:pPr>
      <w:r>
        <w:rPr>
          <w:b/>
          <w:bCs/>
          <w:sz w:val="18"/>
          <w:szCs w:val="18"/>
        </w:rPr>
        <w:t>Tabela 4. Wynik bud</w:t>
      </w:r>
      <w:r>
        <w:rPr>
          <w:rFonts w:ascii="Times New Roman" w:hAnsi="Times New Roman" w:cs="Times New Roman"/>
          <w:b/>
          <w:bCs/>
          <w:sz w:val="18"/>
          <w:szCs w:val="18"/>
        </w:rPr>
        <w:t>żetu Gminy Boleszkowice</w:t>
      </w:r>
    </w:p>
    <w:tbl>
      <w:tblPr>
        <w:tblW w:w="0" w:type="auto"/>
        <w:tblInd w:w="-5" w:type="dxa"/>
        <w:tblLayout w:type="fixed"/>
        <w:tblCellMar>
          <w:left w:w="10" w:type="dxa"/>
          <w:right w:w="10" w:type="dxa"/>
        </w:tblCellMar>
        <w:tblLook w:val="0000" w:firstRow="0" w:lastRow="0" w:firstColumn="0" w:lastColumn="0" w:noHBand="0" w:noVBand="0"/>
      </w:tblPr>
      <w:tblGrid>
        <w:gridCol w:w="1712"/>
        <w:gridCol w:w="1712"/>
        <w:gridCol w:w="1712"/>
        <w:gridCol w:w="1712"/>
        <w:gridCol w:w="1712"/>
      </w:tblGrid>
      <w:tr w:rsidR="00875BCB">
        <w:tc>
          <w:tcPr>
            <w:tcW w:w="1712"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Times New Roman" w:hAnsi="Times New Roman" w:cs="Times New Roman"/>
                <w:sz w:val="20"/>
                <w:szCs w:val="20"/>
              </w:rPr>
            </w:pPr>
          </w:p>
        </w:tc>
        <w:tc>
          <w:tcPr>
            <w:tcW w:w="1712" w:type="dxa"/>
            <w:tcBorders>
              <w:top w:val="single" w:sz="4" w:space="0" w:color="auto"/>
              <w:left w:val="single" w:sz="4" w:space="0" w:color="auto"/>
              <w:bottom w:val="single" w:sz="4" w:space="0" w:color="auto"/>
              <w:right w:val="single" w:sz="4" w:space="0" w:color="auto"/>
            </w:tcBorders>
            <w:vAlign w:val="bottom"/>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2016</w:t>
            </w:r>
          </w:p>
        </w:tc>
        <w:tc>
          <w:tcPr>
            <w:tcW w:w="1712" w:type="dxa"/>
            <w:tcBorders>
              <w:top w:val="single" w:sz="4" w:space="0" w:color="auto"/>
              <w:left w:val="single" w:sz="4" w:space="0" w:color="auto"/>
              <w:bottom w:val="single" w:sz="4" w:space="0" w:color="auto"/>
              <w:right w:val="single" w:sz="4" w:space="0" w:color="auto"/>
            </w:tcBorders>
            <w:vAlign w:val="bottom"/>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2017</w:t>
            </w:r>
          </w:p>
        </w:tc>
        <w:tc>
          <w:tcPr>
            <w:tcW w:w="1712" w:type="dxa"/>
            <w:tcBorders>
              <w:top w:val="single" w:sz="4" w:space="0" w:color="auto"/>
              <w:left w:val="single" w:sz="4" w:space="0" w:color="auto"/>
              <w:bottom w:val="single" w:sz="4" w:space="0" w:color="auto"/>
              <w:right w:val="single" w:sz="4" w:space="0" w:color="auto"/>
            </w:tcBorders>
            <w:vAlign w:val="bottom"/>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2018</w:t>
            </w:r>
          </w:p>
        </w:tc>
        <w:tc>
          <w:tcPr>
            <w:tcW w:w="1712" w:type="dxa"/>
            <w:tcBorders>
              <w:top w:val="single" w:sz="4" w:space="0" w:color="auto"/>
              <w:left w:val="single" w:sz="4" w:space="0" w:color="auto"/>
              <w:bottom w:val="single" w:sz="4" w:space="0" w:color="auto"/>
              <w:right w:val="single" w:sz="4" w:space="0" w:color="auto"/>
            </w:tcBorders>
            <w:vAlign w:val="bottom"/>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2019</w:t>
            </w:r>
          </w:p>
        </w:tc>
      </w:tr>
      <w:tr w:rsidR="00875BCB">
        <w:tc>
          <w:tcPr>
            <w:tcW w:w="1712"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18"/>
                <w:szCs w:val="18"/>
              </w:rPr>
            </w:pPr>
            <w:r>
              <w:rPr>
                <w:b/>
                <w:bCs/>
                <w:sz w:val="18"/>
                <w:szCs w:val="18"/>
              </w:rPr>
              <w:t>Dochody</w:t>
            </w:r>
          </w:p>
        </w:tc>
        <w:tc>
          <w:tcPr>
            <w:tcW w:w="1712"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14111372,36</w:t>
            </w:r>
          </w:p>
        </w:tc>
        <w:tc>
          <w:tcPr>
            <w:tcW w:w="1712"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11 729 509,00</w:t>
            </w:r>
          </w:p>
        </w:tc>
        <w:tc>
          <w:tcPr>
            <w:tcW w:w="1712"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12 859 667,00</w:t>
            </w:r>
          </w:p>
        </w:tc>
        <w:tc>
          <w:tcPr>
            <w:tcW w:w="1712"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11 932 899,00</w:t>
            </w:r>
          </w:p>
        </w:tc>
      </w:tr>
      <w:tr w:rsidR="00875BCB">
        <w:tc>
          <w:tcPr>
            <w:tcW w:w="1712"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18"/>
                <w:szCs w:val="18"/>
              </w:rPr>
            </w:pPr>
            <w:r>
              <w:rPr>
                <w:b/>
                <w:bCs/>
                <w:sz w:val="18"/>
                <w:szCs w:val="18"/>
              </w:rPr>
              <w:t>Wydatki</w:t>
            </w:r>
          </w:p>
        </w:tc>
        <w:tc>
          <w:tcPr>
            <w:tcW w:w="1712"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14962701,27</w:t>
            </w:r>
          </w:p>
        </w:tc>
        <w:tc>
          <w:tcPr>
            <w:tcW w:w="1712"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13 255 505,00</w:t>
            </w:r>
          </w:p>
        </w:tc>
        <w:tc>
          <w:tcPr>
            <w:tcW w:w="1712"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13 414 797,00</w:t>
            </w:r>
          </w:p>
        </w:tc>
        <w:tc>
          <w:tcPr>
            <w:tcW w:w="1712"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12 048 649,00</w:t>
            </w:r>
          </w:p>
        </w:tc>
      </w:tr>
      <w:tr w:rsidR="00875BCB">
        <w:tc>
          <w:tcPr>
            <w:tcW w:w="1712"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18"/>
                <w:szCs w:val="18"/>
              </w:rPr>
            </w:pPr>
            <w:r>
              <w:rPr>
                <w:b/>
                <w:bCs/>
                <w:sz w:val="18"/>
                <w:szCs w:val="18"/>
              </w:rPr>
              <w:t>Wynik bud</w:t>
            </w:r>
            <w:r>
              <w:rPr>
                <w:rFonts w:ascii="Times New Roman" w:hAnsi="Times New Roman" w:cs="Times New Roman"/>
                <w:b/>
                <w:bCs/>
                <w:sz w:val="18"/>
                <w:szCs w:val="18"/>
              </w:rPr>
              <w:t>żetu</w:t>
            </w:r>
          </w:p>
        </w:tc>
        <w:tc>
          <w:tcPr>
            <w:tcW w:w="1712"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-851328,91</w:t>
            </w:r>
          </w:p>
        </w:tc>
        <w:tc>
          <w:tcPr>
            <w:tcW w:w="1712"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-1 525 996,00</w:t>
            </w:r>
          </w:p>
        </w:tc>
        <w:tc>
          <w:tcPr>
            <w:tcW w:w="1712"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-555 130,00</w:t>
            </w:r>
          </w:p>
        </w:tc>
        <w:tc>
          <w:tcPr>
            <w:tcW w:w="1712"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-115 750,00</w:t>
            </w:r>
          </w:p>
        </w:tc>
      </w:tr>
      <w:tr w:rsidR="00875BCB">
        <w:tc>
          <w:tcPr>
            <w:tcW w:w="1712"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Times New Roman" w:hAnsi="Times New Roman" w:cs="Times New Roman"/>
                <w:sz w:val="20"/>
                <w:szCs w:val="20"/>
              </w:rPr>
            </w:pPr>
          </w:p>
        </w:tc>
        <w:tc>
          <w:tcPr>
            <w:tcW w:w="1712" w:type="dxa"/>
            <w:tcBorders>
              <w:top w:val="single" w:sz="4" w:space="0" w:color="auto"/>
              <w:left w:val="single" w:sz="4" w:space="0" w:color="auto"/>
              <w:bottom w:val="single" w:sz="4" w:space="0" w:color="auto"/>
              <w:right w:val="single" w:sz="4" w:space="0" w:color="auto"/>
            </w:tcBorders>
            <w:vAlign w:val="bottom"/>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2020</w:t>
            </w:r>
          </w:p>
        </w:tc>
        <w:tc>
          <w:tcPr>
            <w:tcW w:w="1712" w:type="dxa"/>
            <w:tcBorders>
              <w:top w:val="single" w:sz="4" w:space="0" w:color="auto"/>
              <w:left w:val="single" w:sz="4" w:space="0" w:color="auto"/>
              <w:bottom w:val="single" w:sz="4" w:space="0" w:color="auto"/>
              <w:right w:val="single" w:sz="4" w:space="0" w:color="auto"/>
            </w:tcBorders>
            <w:vAlign w:val="bottom"/>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2021</w:t>
            </w:r>
          </w:p>
        </w:tc>
        <w:tc>
          <w:tcPr>
            <w:tcW w:w="1712" w:type="dxa"/>
            <w:tcBorders>
              <w:top w:val="single" w:sz="4" w:space="0" w:color="auto"/>
              <w:left w:val="single" w:sz="4" w:space="0" w:color="auto"/>
              <w:bottom w:val="single" w:sz="4" w:space="0" w:color="auto"/>
              <w:right w:val="single" w:sz="4" w:space="0" w:color="auto"/>
            </w:tcBorders>
            <w:vAlign w:val="bottom"/>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2022</w:t>
            </w:r>
          </w:p>
        </w:tc>
        <w:tc>
          <w:tcPr>
            <w:tcW w:w="1712" w:type="dxa"/>
            <w:tcBorders>
              <w:top w:val="single" w:sz="4" w:space="0" w:color="auto"/>
              <w:left w:val="single" w:sz="4" w:space="0" w:color="auto"/>
              <w:bottom w:val="single" w:sz="4" w:space="0" w:color="auto"/>
              <w:right w:val="single" w:sz="4" w:space="0" w:color="auto"/>
            </w:tcBorders>
            <w:vAlign w:val="bottom"/>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2023</w:t>
            </w:r>
          </w:p>
        </w:tc>
      </w:tr>
      <w:tr w:rsidR="00875BCB">
        <w:tc>
          <w:tcPr>
            <w:tcW w:w="1712"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18"/>
                <w:szCs w:val="18"/>
              </w:rPr>
            </w:pPr>
            <w:r>
              <w:rPr>
                <w:b/>
                <w:bCs/>
                <w:sz w:val="18"/>
                <w:szCs w:val="18"/>
              </w:rPr>
              <w:t>Dochody</w:t>
            </w:r>
          </w:p>
        </w:tc>
        <w:tc>
          <w:tcPr>
            <w:tcW w:w="1712"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12 840 598,00</w:t>
            </w:r>
          </w:p>
        </w:tc>
        <w:tc>
          <w:tcPr>
            <w:tcW w:w="1712"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14 101 418,00</w:t>
            </w:r>
          </w:p>
        </w:tc>
        <w:tc>
          <w:tcPr>
            <w:tcW w:w="1712"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13 009 486,00</w:t>
            </w:r>
          </w:p>
        </w:tc>
        <w:tc>
          <w:tcPr>
            <w:tcW w:w="1712"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12 724 187,00</w:t>
            </w:r>
          </w:p>
        </w:tc>
      </w:tr>
      <w:tr w:rsidR="00875BCB">
        <w:tc>
          <w:tcPr>
            <w:tcW w:w="1712"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18"/>
                <w:szCs w:val="18"/>
              </w:rPr>
            </w:pPr>
            <w:r>
              <w:rPr>
                <w:b/>
                <w:bCs/>
                <w:sz w:val="18"/>
                <w:szCs w:val="18"/>
              </w:rPr>
              <w:t>Wydatki</w:t>
            </w:r>
          </w:p>
        </w:tc>
        <w:tc>
          <w:tcPr>
            <w:tcW w:w="1712"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12 271 246,00</w:t>
            </w:r>
          </w:p>
        </w:tc>
        <w:tc>
          <w:tcPr>
            <w:tcW w:w="1712"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13 672 054,00</w:t>
            </w:r>
          </w:p>
        </w:tc>
        <w:tc>
          <w:tcPr>
            <w:tcW w:w="1712"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12 375 615,00</w:t>
            </w:r>
          </w:p>
        </w:tc>
        <w:tc>
          <w:tcPr>
            <w:tcW w:w="1712"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12 214 598,00</w:t>
            </w:r>
          </w:p>
        </w:tc>
      </w:tr>
      <w:tr w:rsidR="00875BCB">
        <w:tc>
          <w:tcPr>
            <w:tcW w:w="1712"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18"/>
                <w:szCs w:val="18"/>
              </w:rPr>
            </w:pPr>
            <w:r>
              <w:rPr>
                <w:b/>
                <w:bCs/>
                <w:sz w:val="18"/>
                <w:szCs w:val="18"/>
              </w:rPr>
              <w:t>Wynik bud</w:t>
            </w:r>
            <w:r>
              <w:rPr>
                <w:rFonts w:ascii="Times New Roman" w:hAnsi="Times New Roman" w:cs="Times New Roman"/>
                <w:b/>
                <w:bCs/>
                <w:sz w:val="18"/>
                <w:szCs w:val="18"/>
              </w:rPr>
              <w:t>żetu</w:t>
            </w:r>
          </w:p>
        </w:tc>
        <w:tc>
          <w:tcPr>
            <w:tcW w:w="1712"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569 352,00</w:t>
            </w:r>
          </w:p>
        </w:tc>
        <w:tc>
          <w:tcPr>
            <w:tcW w:w="1712"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429 364,00</w:t>
            </w:r>
          </w:p>
        </w:tc>
        <w:tc>
          <w:tcPr>
            <w:tcW w:w="1712"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633 871,00</w:t>
            </w:r>
          </w:p>
        </w:tc>
        <w:tc>
          <w:tcPr>
            <w:tcW w:w="1712"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509 589,00</w:t>
            </w:r>
          </w:p>
        </w:tc>
      </w:tr>
      <w:tr w:rsidR="00875BCB">
        <w:tc>
          <w:tcPr>
            <w:tcW w:w="1712"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Times New Roman" w:hAnsi="Times New Roman" w:cs="Times New Roman"/>
                <w:sz w:val="20"/>
                <w:szCs w:val="20"/>
              </w:rPr>
            </w:pPr>
          </w:p>
        </w:tc>
        <w:tc>
          <w:tcPr>
            <w:tcW w:w="1712" w:type="dxa"/>
            <w:tcBorders>
              <w:top w:val="single" w:sz="4" w:space="0" w:color="auto"/>
              <w:left w:val="single" w:sz="4" w:space="0" w:color="auto"/>
              <w:bottom w:val="single" w:sz="4" w:space="0" w:color="auto"/>
              <w:right w:val="single" w:sz="4" w:space="0" w:color="auto"/>
            </w:tcBorders>
            <w:vAlign w:val="bottom"/>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2024</w:t>
            </w:r>
          </w:p>
        </w:tc>
        <w:tc>
          <w:tcPr>
            <w:tcW w:w="1712" w:type="dxa"/>
            <w:tcBorders>
              <w:top w:val="single" w:sz="4" w:space="0" w:color="auto"/>
              <w:left w:val="single" w:sz="4" w:space="0" w:color="auto"/>
              <w:bottom w:val="single" w:sz="4" w:space="0" w:color="auto"/>
              <w:right w:val="single" w:sz="4" w:space="0" w:color="auto"/>
            </w:tcBorders>
            <w:vAlign w:val="bottom"/>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2025</w:t>
            </w:r>
          </w:p>
        </w:tc>
        <w:tc>
          <w:tcPr>
            <w:tcW w:w="1712" w:type="dxa"/>
            <w:tcBorders>
              <w:top w:val="single" w:sz="4" w:space="0" w:color="auto"/>
              <w:left w:val="single" w:sz="4" w:space="0" w:color="auto"/>
              <w:bottom w:val="single" w:sz="4" w:space="0" w:color="auto"/>
              <w:right w:val="single" w:sz="4" w:space="0" w:color="auto"/>
            </w:tcBorders>
            <w:vAlign w:val="bottom"/>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2026</w:t>
            </w:r>
          </w:p>
        </w:tc>
        <w:tc>
          <w:tcPr>
            <w:tcW w:w="1712"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Times New Roman" w:hAnsi="Times New Roman" w:cs="Times New Roman"/>
                <w:sz w:val="20"/>
                <w:szCs w:val="20"/>
              </w:rPr>
            </w:pPr>
          </w:p>
        </w:tc>
      </w:tr>
      <w:tr w:rsidR="00875BCB">
        <w:tc>
          <w:tcPr>
            <w:tcW w:w="1712"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18"/>
                <w:szCs w:val="18"/>
              </w:rPr>
            </w:pPr>
            <w:r>
              <w:rPr>
                <w:b/>
                <w:bCs/>
                <w:sz w:val="18"/>
                <w:szCs w:val="18"/>
              </w:rPr>
              <w:t>Dochody</w:t>
            </w:r>
          </w:p>
        </w:tc>
        <w:tc>
          <w:tcPr>
            <w:tcW w:w="1712"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13 167 878,00</w:t>
            </w:r>
          </w:p>
        </w:tc>
        <w:tc>
          <w:tcPr>
            <w:tcW w:w="1712"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13 220 490,00</w:t>
            </w:r>
          </w:p>
        </w:tc>
        <w:tc>
          <w:tcPr>
            <w:tcW w:w="1712"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13 328 064,00</w:t>
            </w:r>
          </w:p>
        </w:tc>
        <w:tc>
          <w:tcPr>
            <w:tcW w:w="1712"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p>
        </w:tc>
      </w:tr>
      <w:tr w:rsidR="00875BCB">
        <w:tc>
          <w:tcPr>
            <w:tcW w:w="1712"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18"/>
                <w:szCs w:val="18"/>
              </w:rPr>
            </w:pPr>
            <w:r>
              <w:rPr>
                <w:b/>
                <w:bCs/>
                <w:sz w:val="18"/>
                <w:szCs w:val="18"/>
              </w:rPr>
              <w:t>Wydatki</w:t>
            </w:r>
          </w:p>
        </w:tc>
        <w:tc>
          <w:tcPr>
            <w:tcW w:w="1712"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12 658 289,00</w:t>
            </w:r>
          </w:p>
        </w:tc>
        <w:tc>
          <w:tcPr>
            <w:tcW w:w="1712"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12 710 901,00</w:t>
            </w:r>
          </w:p>
        </w:tc>
        <w:tc>
          <w:tcPr>
            <w:tcW w:w="1712"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11 818 516,00</w:t>
            </w:r>
          </w:p>
        </w:tc>
        <w:tc>
          <w:tcPr>
            <w:tcW w:w="1712"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p>
        </w:tc>
      </w:tr>
      <w:tr w:rsidR="00875BCB">
        <w:tc>
          <w:tcPr>
            <w:tcW w:w="1712"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18"/>
                <w:szCs w:val="18"/>
              </w:rPr>
            </w:pPr>
            <w:r>
              <w:rPr>
                <w:b/>
                <w:bCs/>
                <w:sz w:val="18"/>
                <w:szCs w:val="18"/>
              </w:rPr>
              <w:t>Wynik bud</w:t>
            </w:r>
            <w:r>
              <w:rPr>
                <w:rFonts w:ascii="Times New Roman" w:hAnsi="Times New Roman" w:cs="Times New Roman"/>
                <w:b/>
                <w:bCs/>
                <w:sz w:val="18"/>
                <w:szCs w:val="18"/>
              </w:rPr>
              <w:t>żetu</w:t>
            </w:r>
          </w:p>
        </w:tc>
        <w:tc>
          <w:tcPr>
            <w:tcW w:w="1712"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509 589,00</w:t>
            </w:r>
          </w:p>
        </w:tc>
        <w:tc>
          <w:tcPr>
            <w:tcW w:w="1712"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509 589,00</w:t>
            </w:r>
          </w:p>
        </w:tc>
        <w:tc>
          <w:tcPr>
            <w:tcW w:w="1712"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 xml:space="preserve"> 509 548,00</w:t>
            </w:r>
          </w:p>
        </w:tc>
        <w:tc>
          <w:tcPr>
            <w:tcW w:w="1712"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p>
        </w:tc>
      </w:tr>
    </w:tbl>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16"/>
          <w:szCs w:val="16"/>
        </w:rPr>
      </w:pPr>
      <w:r>
        <w:rPr>
          <w:rFonts w:ascii="Times New Roman" w:hAnsi="Times New Roman" w:cs="Times New Roman"/>
          <w:sz w:val="16"/>
          <w:szCs w:val="16"/>
        </w:rPr>
        <w:t>Źródło: Opracowanie własne.</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rPr>
      </w:pPr>
      <w:r>
        <w:rPr>
          <w:b/>
          <w:bCs/>
        </w:rPr>
        <w:t>5. Przychody</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Times New Roman" w:hAnsi="Times New Roman" w:cs="Times New Roman"/>
          <w:sz w:val="22"/>
          <w:szCs w:val="22"/>
        </w:rPr>
      </w:pPr>
      <w:r>
        <w:rPr>
          <w:sz w:val="22"/>
          <w:szCs w:val="22"/>
        </w:rPr>
        <w:t>W okresie obj</w:t>
      </w:r>
      <w:r>
        <w:rPr>
          <w:rFonts w:ascii="Times New Roman" w:hAnsi="Times New Roman" w:cs="Times New Roman"/>
          <w:sz w:val="22"/>
          <w:szCs w:val="22"/>
        </w:rPr>
        <w:t>ętym prognozą planuje się pozyskać przychody w roku 2016 na pokrycie planowanego deficytu budżetowego</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57"/>
        <w:jc w:val="both"/>
        <w:rPr>
          <w:rFonts w:ascii="Times New Roman" w:hAnsi="Times New Roman" w:cs="Times New Roman"/>
          <w:sz w:val="20"/>
          <w:szCs w:val="20"/>
        </w:rPr>
      </w:pPr>
      <w:r>
        <w:rPr>
          <w:rFonts w:ascii="Times New Roman" w:hAnsi="Times New Roman" w:cs="Times New Roman"/>
          <w:sz w:val="20"/>
          <w:szCs w:val="20"/>
        </w:rPr>
        <w:t>W okresie objętym prognozą planuje się zaciągnąć nowe zobowiązanie.</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57"/>
        <w:jc w:val="both"/>
        <w:rPr>
          <w:b/>
          <w:bCs/>
          <w:sz w:val="20"/>
          <w:szCs w:val="20"/>
        </w:rPr>
      </w:pP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57"/>
        <w:jc w:val="both"/>
        <w:rPr>
          <w:rFonts w:ascii="Times New Roman" w:hAnsi="Times New Roman" w:cs="Times New Roman"/>
        </w:rPr>
      </w:pPr>
      <w:r>
        <w:rPr>
          <w:b/>
          <w:bCs/>
        </w:rPr>
        <w:t>6. Rozchody</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sz w:val="22"/>
          <w:szCs w:val="22"/>
        </w:rPr>
        <w:t>Na dzie</w:t>
      </w:r>
      <w:r>
        <w:rPr>
          <w:rFonts w:ascii="Times New Roman" w:hAnsi="Times New Roman" w:cs="Times New Roman"/>
          <w:sz w:val="22"/>
          <w:szCs w:val="22"/>
        </w:rPr>
        <w:t xml:space="preserve">ń 01.01.2016 </w:t>
      </w:r>
      <w:proofErr w:type="gramStart"/>
      <w:r>
        <w:rPr>
          <w:rFonts w:ascii="Times New Roman" w:hAnsi="Times New Roman" w:cs="Times New Roman"/>
          <w:sz w:val="22"/>
          <w:szCs w:val="22"/>
        </w:rPr>
        <w:t>kwota</w:t>
      </w:r>
      <w:proofErr w:type="gramEnd"/>
      <w:r>
        <w:rPr>
          <w:rFonts w:ascii="Times New Roman" w:hAnsi="Times New Roman" w:cs="Times New Roman"/>
          <w:sz w:val="22"/>
          <w:szCs w:val="22"/>
        </w:rPr>
        <w:t xml:space="preserve"> zadłużenia, wpływająca na kształtowanie się wskaźnika faktycznej obsługi zadłużenia, wynikająca z zaciągniętych kredytów, pożyczek i wyemitowanych obligacji wynosi 1920599 zł, a jego spłata planowana jest do roku 2026.</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rPr>
      </w:pPr>
      <w:r>
        <w:rPr>
          <w:b/>
          <w:bCs/>
        </w:rPr>
        <w:t>7. Relacja z art. 243 ustawy o finansach publicznych</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sz w:val="22"/>
          <w:szCs w:val="22"/>
        </w:rPr>
        <w:t xml:space="preserve">Zgodnie z art. 243 ust. 1 ustawy z dnia 27 sierpnia 2009 r. o finansach publicznych (tj. Dz. U. </w:t>
      </w:r>
      <w:proofErr w:type="gramStart"/>
      <w:r>
        <w:rPr>
          <w:sz w:val="22"/>
          <w:szCs w:val="22"/>
        </w:rPr>
        <w:t>z</w:t>
      </w:r>
      <w:proofErr w:type="gramEnd"/>
      <w:r>
        <w:rPr>
          <w:sz w:val="22"/>
          <w:szCs w:val="22"/>
        </w:rPr>
        <w:t> 2013 r. poz. 885 z </w:t>
      </w:r>
      <w:proofErr w:type="spellStart"/>
      <w:r>
        <w:rPr>
          <w:sz w:val="22"/>
          <w:szCs w:val="22"/>
        </w:rPr>
        <w:t>p</w:t>
      </w:r>
      <w:r>
        <w:rPr>
          <w:rFonts w:ascii="Times New Roman" w:hAnsi="Times New Roman" w:cs="Times New Roman"/>
          <w:sz w:val="22"/>
          <w:szCs w:val="22"/>
        </w:rPr>
        <w:t>óźn</w:t>
      </w:r>
      <w:proofErr w:type="spellEnd"/>
      <w:r>
        <w:rPr>
          <w:rFonts w:ascii="Times New Roman" w:hAnsi="Times New Roman" w:cs="Times New Roman"/>
          <w:sz w:val="22"/>
          <w:szCs w:val="22"/>
        </w:rPr>
        <w:t xml:space="preserve">. </w:t>
      </w:r>
      <w:proofErr w:type="gramStart"/>
      <w:r>
        <w:rPr>
          <w:rFonts w:ascii="Times New Roman" w:hAnsi="Times New Roman" w:cs="Times New Roman"/>
          <w:sz w:val="22"/>
          <w:szCs w:val="22"/>
        </w:rPr>
        <w:t>zm</w:t>
      </w:r>
      <w:proofErr w:type="gramEnd"/>
      <w:r>
        <w:rPr>
          <w:rFonts w:ascii="Times New Roman" w:hAnsi="Times New Roman" w:cs="Times New Roman"/>
          <w:sz w:val="22"/>
          <w:szCs w:val="22"/>
        </w:rPr>
        <w:t>.) od 1 stycznia 2014 r. obowiązuje indywidualny wskaźnik zadłużenia dla samorządów. Według przepisów roczna wartość spłat zobowiązań i ich obsługi do planowanych dochodów nie może przekroczyć wskaźnika opartego na średniej arytmetycznej z obliczonych dla ostatnich 3 lat relacji dochodów bieżących, powiększonych o wpływy uzyskane ze sprzedaży majątku oraz pomniejszonych o wydatki bieżące, do dochodów ogółem.</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Times New Roman" w:hAnsi="Times New Roman" w:cs="Times New Roman"/>
          <w:sz w:val="18"/>
          <w:szCs w:val="18"/>
        </w:rPr>
      </w:pPr>
      <w:r>
        <w:rPr>
          <w:b/>
          <w:bCs/>
          <w:sz w:val="18"/>
          <w:szCs w:val="18"/>
        </w:rPr>
        <w:t>Tabela 5. Kszta</w:t>
      </w:r>
      <w:r>
        <w:rPr>
          <w:rFonts w:ascii="Times New Roman" w:hAnsi="Times New Roman" w:cs="Times New Roman"/>
          <w:b/>
          <w:bCs/>
          <w:sz w:val="18"/>
          <w:szCs w:val="18"/>
        </w:rPr>
        <w:t xml:space="preserve">łtowanie się relacji z art. 243 </w:t>
      </w:r>
      <w:proofErr w:type="spellStart"/>
      <w:r>
        <w:rPr>
          <w:rFonts w:ascii="Times New Roman" w:hAnsi="Times New Roman" w:cs="Times New Roman"/>
          <w:b/>
          <w:bCs/>
          <w:sz w:val="18"/>
          <w:szCs w:val="18"/>
        </w:rPr>
        <w:t>u.</w:t>
      </w:r>
      <w:proofErr w:type="gramStart"/>
      <w:r>
        <w:rPr>
          <w:rFonts w:ascii="Times New Roman" w:hAnsi="Times New Roman" w:cs="Times New Roman"/>
          <w:b/>
          <w:bCs/>
          <w:sz w:val="18"/>
          <w:szCs w:val="18"/>
        </w:rPr>
        <w:t>f</w:t>
      </w:r>
      <w:proofErr w:type="gramEnd"/>
      <w:r>
        <w:rPr>
          <w:rFonts w:ascii="Times New Roman" w:hAnsi="Times New Roman" w:cs="Times New Roman"/>
          <w:b/>
          <w:bCs/>
          <w:sz w:val="18"/>
          <w:szCs w:val="18"/>
        </w:rPr>
        <w:t>.</w:t>
      </w:r>
      <w:proofErr w:type="gramStart"/>
      <w:r>
        <w:rPr>
          <w:rFonts w:ascii="Times New Roman" w:hAnsi="Times New Roman" w:cs="Times New Roman"/>
          <w:b/>
          <w:bCs/>
          <w:sz w:val="18"/>
          <w:szCs w:val="18"/>
        </w:rPr>
        <w:t>p</w:t>
      </w:r>
      <w:proofErr w:type="spellEnd"/>
      <w:proofErr w:type="gramEnd"/>
      <w:r>
        <w:rPr>
          <w:rFonts w:ascii="Times New Roman" w:hAnsi="Times New Roman" w:cs="Times New Roman"/>
          <w:b/>
          <w:bCs/>
          <w:sz w:val="18"/>
          <w:szCs w:val="18"/>
        </w:rPr>
        <w:t>.</w:t>
      </w:r>
    </w:p>
    <w:tbl>
      <w:tblPr>
        <w:tblW w:w="0" w:type="auto"/>
        <w:tblInd w:w="-5" w:type="dxa"/>
        <w:tblLayout w:type="fixed"/>
        <w:tblCellMar>
          <w:left w:w="10" w:type="dxa"/>
          <w:right w:w="10" w:type="dxa"/>
        </w:tblCellMar>
        <w:tblLook w:val="0000" w:firstRow="0" w:lastRow="0" w:firstColumn="0" w:lastColumn="0" w:noHBand="0" w:noVBand="0"/>
      </w:tblPr>
      <w:tblGrid>
        <w:gridCol w:w="1070"/>
        <w:gridCol w:w="1070"/>
        <w:gridCol w:w="1070"/>
        <w:gridCol w:w="1070"/>
        <w:gridCol w:w="1070"/>
        <w:gridCol w:w="1070"/>
        <w:gridCol w:w="1070"/>
        <w:gridCol w:w="1070"/>
      </w:tblGrid>
      <w:tr w:rsidR="00875BCB">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Times New Roman" w:hAnsi="Times New Roman" w:cs="Times New Roman"/>
                <w:sz w:val="20"/>
                <w:szCs w:val="20"/>
              </w:rPr>
            </w:pPr>
          </w:p>
        </w:tc>
        <w:tc>
          <w:tcPr>
            <w:tcW w:w="1070" w:type="dxa"/>
            <w:tcBorders>
              <w:top w:val="single" w:sz="4" w:space="0" w:color="auto"/>
              <w:left w:val="single" w:sz="4" w:space="0" w:color="auto"/>
              <w:bottom w:val="single" w:sz="4" w:space="0" w:color="auto"/>
              <w:right w:val="single" w:sz="4" w:space="0" w:color="auto"/>
            </w:tcBorders>
            <w:vAlign w:val="bottom"/>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2016</w:t>
            </w:r>
          </w:p>
        </w:tc>
        <w:tc>
          <w:tcPr>
            <w:tcW w:w="1070" w:type="dxa"/>
            <w:tcBorders>
              <w:top w:val="single" w:sz="4" w:space="0" w:color="auto"/>
              <w:left w:val="single" w:sz="4" w:space="0" w:color="auto"/>
              <w:bottom w:val="single" w:sz="4" w:space="0" w:color="auto"/>
              <w:right w:val="single" w:sz="4" w:space="0" w:color="auto"/>
            </w:tcBorders>
            <w:vAlign w:val="bottom"/>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2017</w:t>
            </w:r>
          </w:p>
        </w:tc>
        <w:tc>
          <w:tcPr>
            <w:tcW w:w="1070" w:type="dxa"/>
            <w:tcBorders>
              <w:top w:val="single" w:sz="4" w:space="0" w:color="auto"/>
              <w:left w:val="single" w:sz="4" w:space="0" w:color="auto"/>
              <w:bottom w:val="single" w:sz="4" w:space="0" w:color="auto"/>
              <w:right w:val="single" w:sz="4" w:space="0" w:color="auto"/>
            </w:tcBorders>
            <w:vAlign w:val="bottom"/>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2018</w:t>
            </w:r>
          </w:p>
        </w:tc>
        <w:tc>
          <w:tcPr>
            <w:tcW w:w="1070" w:type="dxa"/>
            <w:tcBorders>
              <w:top w:val="single" w:sz="4" w:space="0" w:color="auto"/>
              <w:left w:val="single" w:sz="4" w:space="0" w:color="auto"/>
              <w:bottom w:val="single" w:sz="4" w:space="0" w:color="auto"/>
              <w:right w:val="single" w:sz="4" w:space="0" w:color="auto"/>
            </w:tcBorders>
            <w:vAlign w:val="bottom"/>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2019</w:t>
            </w:r>
          </w:p>
        </w:tc>
        <w:tc>
          <w:tcPr>
            <w:tcW w:w="1070" w:type="dxa"/>
            <w:tcBorders>
              <w:top w:val="single" w:sz="4" w:space="0" w:color="auto"/>
              <w:left w:val="single" w:sz="4" w:space="0" w:color="auto"/>
              <w:bottom w:val="single" w:sz="4" w:space="0" w:color="auto"/>
              <w:right w:val="single" w:sz="4" w:space="0" w:color="auto"/>
            </w:tcBorders>
            <w:vAlign w:val="bottom"/>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2020</w:t>
            </w:r>
          </w:p>
        </w:tc>
        <w:tc>
          <w:tcPr>
            <w:tcW w:w="1070" w:type="dxa"/>
            <w:tcBorders>
              <w:top w:val="single" w:sz="4" w:space="0" w:color="auto"/>
              <w:left w:val="single" w:sz="4" w:space="0" w:color="auto"/>
              <w:bottom w:val="single" w:sz="4" w:space="0" w:color="auto"/>
              <w:right w:val="single" w:sz="4" w:space="0" w:color="auto"/>
            </w:tcBorders>
            <w:vAlign w:val="bottom"/>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2021</w:t>
            </w:r>
          </w:p>
        </w:tc>
        <w:tc>
          <w:tcPr>
            <w:tcW w:w="1070" w:type="dxa"/>
            <w:tcBorders>
              <w:top w:val="single" w:sz="4" w:space="0" w:color="auto"/>
              <w:left w:val="single" w:sz="4" w:space="0" w:color="auto"/>
              <w:bottom w:val="single" w:sz="4" w:space="0" w:color="auto"/>
              <w:right w:val="single" w:sz="4" w:space="0" w:color="auto"/>
            </w:tcBorders>
            <w:vAlign w:val="bottom"/>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2022</w:t>
            </w:r>
          </w:p>
        </w:tc>
      </w:tr>
      <w:tr w:rsidR="00875BCB">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18"/>
                <w:szCs w:val="18"/>
              </w:rPr>
            </w:pPr>
            <w:r>
              <w:rPr>
                <w:b/>
                <w:bCs/>
                <w:sz w:val="18"/>
                <w:szCs w:val="18"/>
              </w:rPr>
              <w:t>Obs</w:t>
            </w:r>
            <w:r>
              <w:rPr>
                <w:rFonts w:ascii="Times New Roman" w:hAnsi="Times New Roman" w:cs="Times New Roman"/>
                <w:b/>
                <w:bCs/>
                <w:sz w:val="18"/>
                <w:szCs w:val="18"/>
              </w:rPr>
              <w:t xml:space="preserve">ługa zadłużenia (po </w:t>
            </w:r>
            <w:proofErr w:type="spellStart"/>
            <w:r>
              <w:rPr>
                <w:rFonts w:ascii="Times New Roman" w:hAnsi="Times New Roman" w:cs="Times New Roman"/>
                <w:b/>
                <w:bCs/>
                <w:sz w:val="18"/>
                <w:szCs w:val="18"/>
              </w:rPr>
              <w:t>wyłączeniach</w:t>
            </w:r>
            <w:proofErr w:type="spellEnd"/>
            <w:r>
              <w:rPr>
                <w:rFonts w:ascii="Times New Roman" w:hAnsi="Times New Roman" w:cs="Times New Roman"/>
                <w:b/>
                <w:bCs/>
                <w:sz w:val="18"/>
                <w:szCs w:val="18"/>
              </w:rPr>
              <w:t>)</w:t>
            </w:r>
          </w:p>
        </w:tc>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4,80%</w:t>
            </w:r>
          </w:p>
        </w:tc>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0,00%</w:t>
            </w:r>
          </w:p>
        </w:tc>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0,00%</w:t>
            </w:r>
          </w:p>
        </w:tc>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0,00%</w:t>
            </w:r>
          </w:p>
        </w:tc>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0,00%</w:t>
            </w:r>
          </w:p>
        </w:tc>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0,00%</w:t>
            </w:r>
          </w:p>
        </w:tc>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0,00%</w:t>
            </w:r>
          </w:p>
        </w:tc>
      </w:tr>
      <w:tr w:rsidR="00875BCB">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18"/>
                <w:szCs w:val="18"/>
              </w:rPr>
            </w:pPr>
            <w:r>
              <w:rPr>
                <w:b/>
                <w:bCs/>
                <w:sz w:val="18"/>
                <w:szCs w:val="18"/>
              </w:rPr>
              <w:t>Maksymalna obs</w:t>
            </w:r>
            <w:r>
              <w:rPr>
                <w:rFonts w:ascii="Times New Roman" w:hAnsi="Times New Roman" w:cs="Times New Roman"/>
                <w:b/>
                <w:bCs/>
                <w:sz w:val="18"/>
                <w:szCs w:val="18"/>
              </w:rPr>
              <w:t>ługa zadłużenia</w:t>
            </w:r>
          </w:p>
        </w:tc>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8,66%</w:t>
            </w:r>
          </w:p>
        </w:tc>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4,50%</w:t>
            </w:r>
          </w:p>
        </w:tc>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2,90%</w:t>
            </w:r>
          </w:p>
        </w:tc>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3,68%</w:t>
            </w:r>
          </w:p>
        </w:tc>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4,06%</w:t>
            </w:r>
          </w:p>
        </w:tc>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1,72%</w:t>
            </w:r>
          </w:p>
        </w:tc>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1,24%</w:t>
            </w:r>
          </w:p>
        </w:tc>
      </w:tr>
      <w:tr w:rsidR="00875BCB">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18"/>
                <w:szCs w:val="18"/>
              </w:rPr>
            </w:pPr>
            <w:r>
              <w:rPr>
                <w:b/>
                <w:bCs/>
                <w:sz w:val="18"/>
                <w:szCs w:val="18"/>
              </w:rPr>
              <w:t>Zachowanie relacji z art. 243</w:t>
            </w:r>
          </w:p>
        </w:tc>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Tak</w:t>
            </w:r>
          </w:p>
        </w:tc>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Tak</w:t>
            </w:r>
          </w:p>
        </w:tc>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Tak</w:t>
            </w:r>
          </w:p>
        </w:tc>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Tak</w:t>
            </w:r>
          </w:p>
        </w:tc>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Tak</w:t>
            </w:r>
          </w:p>
        </w:tc>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Tak</w:t>
            </w:r>
          </w:p>
        </w:tc>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Tak</w:t>
            </w:r>
          </w:p>
        </w:tc>
      </w:tr>
      <w:tr w:rsidR="00875BCB">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Times New Roman" w:hAnsi="Times New Roman" w:cs="Times New Roman"/>
                <w:sz w:val="20"/>
                <w:szCs w:val="20"/>
              </w:rPr>
            </w:pPr>
          </w:p>
        </w:tc>
        <w:tc>
          <w:tcPr>
            <w:tcW w:w="1070" w:type="dxa"/>
            <w:tcBorders>
              <w:top w:val="single" w:sz="4" w:space="0" w:color="auto"/>
              <w:left w:val="single" w:sz="4" w:space="0" w:color="auto"/>
              <w:bottom w:val="single" w:sz="4" w:space="0" w:color="auto"/>
              <w:right w:val="single" w:sz="4" w:space="0" w:color="auto"/>
            </w:tcBorders>
            <w:vAlign w:val="bottom"/>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2023</w:t>
            </w:r>
          </w:p>
        </w:tc>
        <w:tc>
          <w:tcPr>
            <w:tcW w:w="1070" w:type="dxa"/>
            <w:tcBorders>
              <w:top w:val="single" w:sz="4" w:space="0" w:color="auto"/>
              <w:left w:val="single" w:sz="4" w:space="0" w:color="auto"/>
              <w:bottom w:val="single" w:sz="4" w:space="0" w:color="auto"/>
              <w:right w:val="single" w:sz="4" w:space="0" w:color="auto"/>
            </w:tcBorders>
            <w:vAlign w:val="bottom"/>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2024</w:t>
            </w:r>
          </w:p>
        </w:tc>
        <w:tc>
          <w:tcPr>
            <w:tcW w:w="1070" w:type="dxa"/>
            <w:tcBorders>
              <w:top w:val="single" w:sz="4" w:space="0" w:color="auto"/>
              <w:left w:val="single" w:sz="4" w:space="0" w:color="auto"/>
              <w:bottom w:val="single" w:sz="4" w:space="0" w:color="auto"/>
              <w:right w:val="single" w:sz="4" w:space="0" w:color="auto"/>
            </w:tcBorders>
            <w:vAlign w:val="bottom"/>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2025</w:t>
            </w:r>
          </w:p>
        </w:tc>
        <w:tc>
          <w:tcPr>
            <w:tcW w:w="1070" w:type="dxa"/>
            <w:tcBorders>
              <w:top w:val="single" w:sz="4" w:space="0" w:color="auto"/>
              <w:left w:val="single" w:sz="4" w:space="0" w:color="auto"/>
              <w:bottom w:val="single" w:sz="4" w:space="0" w:color="auto"/>
              <w:right w:val="single" w:sz="4" w:space="0" w:color="auto"/>
            </w:tcBorders>
            <w:vAlign w:val="bottom"/>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2026</w:t>
            </w:r>
          </w:p>
        </w:tc>
        <w:tc>
          <w:tcPr>
            <w:tcW w:w="3210" w:type="dxa"/>
            <w:gridSpan w:val="3"/>
            <w:vMerge w:val="restart"/>
            <w:tcBorders>
              <w:top w:val="single" w:sz="4" w:space="0" w:color="auto"/>
              <w:left w:val="single" w:sz="4" w:space="0" w:color="auto"/>
              <w:bottom w:val="nil"/>
              <w:right w:val="nil"/>
            </w:tcBorders>
            <w:tcMar>
              <w:right w:w="0" w:type="dxa"/>
            </w:tcMar>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Times New Roman" w:hAnsi="Times New Roman" w:cs="Times New Roman"/>
                <w:sz w:val="20"/>
                <w:szCs w:val="20"/>
              </w:rPr>
            </w:pPr>
          </w:p>
        </w:tc>
      </w:tr>
      <w:tr w:rsidR="00875BCB">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18"/>
                <w:szCs w:val="18"/>
              </w:rPr>
            </w:pPr>
            <w:r>
              <w:rPr>
                <w:b/>
                <w:bCs/>
                <w:sz w:val="18"/>
                <w:szCs w:val="18"/>
              </w:rPr>
              <w:t>Obs</w:t>
            </w:r>
            <w:r>
              <w:rPr>
                <w:rFonts w:ascii="Times New Roman" w:hAnsi="Times New Roman" w:cs="Times New Roman"/>
                <w:b/>
                <w:bCs/>
                <w:sz w:val="18"/>
                <w:szCs w:val="18"/>
              </w:rPr>
              <w:t xml:space="preserve">ługa zadłużenia (po </w:t>
            </w:r>
            <w:proofErr w:type="spellStart"/>
            <w:r>
              <w:rPr>
                <w:rFonts w:ascii="Times New Roman" w:hAnsi="Times New Roman" w:cs="Times New Roman"/>
                <w:b/>
                <w:bCs/>
                <w:sz w:val="18"/>
                <w:szCs w:val="18"/>
              </w:rPr>
              <w:t>wyłączeniach</w:t>
            </w:r>
            <w:proofErr w:type="spellEnd"/>
            <w:r>
              <w:rPr>
                <w:rFonts w:ascii="Times New Roman" w:hAnsi="Times New Roman" w:cs="Times New Roman"/>
                <w:b/>
                <w:bCs/>
                <w:sz w:val="18"/>
                <w:szCs w:val="18"/>
              </w:rPr>
              <w:t>)</w:t>
            </w:r>
          </w:p>
        </w:tc>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0,00%</w:t>
            </w:r>
          </w:p>
        </w:tc>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0,00%</w:t>
            </w:r>
          </w:p>
        </w:tc>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0,00%</w:t>
            </w:r>
          </w:p>
        </w:tc>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0,00%</w:t>
            </w:r>
          </w:p>
        </w:tc>
        <w:tc>
          <w:tcPr>
            <w:tcW w:w="3210" w:type="dxa"/>
            <w:gridSpan w:val="3"/>
            <w:vMerge/>
            <w:tcBorders>
              <w:top w:val="nil"/>
              <w:left w:val="single" w:sz="4" w:space="0" w:color="auto"/>
              <w:bottom w:val="single" w:sz="4" w:space="0" w:color="auto"/>
              <w:right w:val="nil"/>
            </w:tcBorders>
            <w:tcMar>
              <w:right w:w="0" w:type="dxa"/>
            </w:tcMar>
          </w:tcPr>
          <w:p w:rsidR="00875BCB" w:rsidRDefault="00875BCB">
            <w:pPr>
              <w:pStyle w:val="Normal"/>
              <w:rPr>
                <w:sz w:val="20"/>
                <w:szCs w:val="20"/>
              </w:rPr>
            </w:pPr>
          </w:p>
        </w:tc>
      </w:tr>
      <w:tr w:rsidR="00875BCB">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18"/>
                <w:szCs w:val="18"/>
              </w:rPr>
            </w:pPr>
            <w:r>
              <w:rPr>
                <w:b/>
                <w:bCs/>
                <w:sz w:val="18"/>
                <w:szCs w:val="18"/>
              </w:rPr>
              <w:t>Maksymalna obs</w:t>
            </w:r>
            <w:r>
              <w:rPr>
                <w:rFonts w:ascii="Times New Roman" w:hAnsi="Times New Roman" w:cs="Times New Roman"/>
                <w:b/>
                <w:bCs/>
                <w:sz w:val="18"/>
                <w:szCs w:val="18"/>
              </w:rPr>
              <w:t>ługa zadłużenia</w:t>
            </w:r>
          </w:p>
        </w:tc>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1,86%</w:t>
            </w:r>
          </w:p>
        </w:tc>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2,36%</w:t>
            </w:r>
          </w:p>
        </w:tc>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2,19%</w:t>
            </w:r>
          </w:p>
        </w:tc>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1,68%</w:t>
            </w:r>
          </w:p>
        </w:tc>
        <w:tc>
          <w:tcPr>
            <w:tcW w:w="3210" w:type="dxa"/>
            <w:gridSpan w:val="3"/>
            <w:vMerge/>
            <w:tcBorders>
              <w:top w:val="nil"/>
              <w:left w:val="single" w:sz="4" w:space="0" w:color="auto"/>
              <w:bottom w:val="single" w:sz="4" w:space="0" w:color="auto"/>
              <w:right w:val="nil"/>
            </w:tcBorders>
            <w:tcMar>
              <w:right w:w="0" w:type="dxa"/>
            </w:tcMar>
          </w:tcPr>
          <w:p w:rsidR="00875BCB" w:rsidRDefault="00875BCB">
            <w:pPr>
              <w:pStyle w:val="Normal"/>
              <w:rPr>
                <w:sz w:val="20"/>
                <w:szCs w:val="20"/>
              </w:rPr>
            </w:pPr>
          </w:p>
        </w:tc>
      </w:tr>
      <w:tr w:rsidR="00875BCB">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18"/>
                <w:szCs w:val="18"/>
              </w:rPr>
            </w:pPr>
            <w:r>
              <w:rPr>
                <w:b/>
                <w:bCs/>
                <w:sz w:val="18"/>
                <w:szCs w:val="18"/>
              </w:rPr>
              <w:t>Zachowanie relacji z art. 243</w:t>
            </w:r>
          </w:p>
        </w:tc>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Tak</w:t>
            </w:r>
          </w:p>
        </w:tc>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Tak</w:t>
            </w:r>
          </w:p>
        </w:tc>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Tak</w:t>
            </w:r>
          </w:p>
        </w:tc>
        <w:tc>
          <w:tcPr>
            <w:tcW w:w="1070" w:type="dxa"/>
            <w:tcBorders>
              <w:top w:val="single" w:sz="4" w:space="0" w:color="auto"/>
              <w:left w:val="single" w:sz="4" w:space="0" w:color="auto"/>
              <w:bottom w:val="single" w:sz="4" w:space="0" w:color="auto"/>
              <w:right w:val="single" w:sz="4" w:space="0" w:color="auto"/>
            </w:tcBorders>
          </w:tcPr>
          <w:p w:rsidR="00875BCB" w:rsidRDefault="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Tak</w:t>
            </w:r>
          </w:p>
        </w:tc>
        <w:tc>
          <w:tcPr>
            <w:tcW w:w="3210" w:type="dxa"/>
            <w:gridSpan w:val="3"/>
            <w:vMerge/>
            <w:tcBorders>
              <w:top w:val="nil"/>
              <w:left w:val="single" w:sz="4" w:space="0" w:color="auto"/>
              <w:bottom w:val="nil"/>
              <w:right w:val="nil"/>
            </w:tcBorders>
            <w:tcMar>
              <w:right w:w="0" w:type="dxa"/>
            </w:tcMar>
            <w:vAlign w:val="center"/>
          </w:tcPr>
          <w:p w:rsidR="00875BCB" w:rsidRDefault="00875BCB">
            <w:pPr>
              <w:pStyle w:val="Normal"/>
              <w:rPr>
                <w:sz w:val="20"/>
                <w:szCs w:val="20"/>
              </w:rPr>
            </w:pPr>
          </w:p>
        </w:tc>
      </w:tr>
    </w:tbl>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16"/>
          <w:szCs w:val="16"/>
        </w:rPr>
      </w:pPr>
      <w:r>
        <w:rPr>
          <w:rFonts w:ascii="Times New Roman" w:hAnsi="Times New Roman" w:cs="Times New Roman"/>
          <w:sz w:val="16"/>
          <w:szCs w:val="16"/>
        </w:rPr>
        <w:t>Źródło: Opracowanie własne.</w:t>
      </w:r>
    </w:p>
    <w:p w:rsidR="00875BCB" w:rsidRDefault="00875BCB" w:rsidP="00875BCB">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rPr>
          <w:rFonts w:ascii="Times New Roman" w:hAnsi="Times New Roman" w:cs="Times New Roman"/>
          <w:sz w:val="16"/>
          <w:szCs w:val="16"/>
        </w:rPr>
      </w:pPr>
    </w:p>
    <w:p w:rsidR="00E74792" w:rsidRDefault="00E74792">
      <w:bookmarkStart w:id="0" w:name="_GoBack"/>
      <w:bookmarkEnd w:id="0"/>
    </w:p>
    <w:sectPr w:rsidR="00E74792" w:rsidSect="0083291C">
      <w:pgSz w:w="12240" w:h="15840"/>
      <w:pgMar w:top="1417" w:right="1417" w:bottom="1417" w:left="1417" w:header="720" w:footer="720"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5BCB"/>
    <w:rsid w:val="00875BCB"/>
    <w:rsid w:val="00E7479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21243B-AD48-4A26-9FCB-EF0870626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
    <w:name w:val="[Normal]"/>
    <w:rsid w:val="00875BCB"/>
    <w:pPr>
      <w:widowControl w:val="0"/>
      <w:autoSpaceDE w:val="0"/>
      <w:autoSpaceDN w:val="0"/>
      <w:adjustRightInd w:val="0"/>
      <w:spacing w:after="0" w:line="240" w:lineRule="auto"/>
    </w:pPr>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wmf"/><Relationship Id="rId3" Type="http://schemas.openxmlformats.org/officeDocument/2006/relationships/webSettings" Target="webSettings.xml"/><Relationship Id="rId7" Type="http://schemas.openxmlformats.org/officeDocument/2006/relationships/image" Target="media/image4.wmf"/><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wmf"/><Relationship Id="rId11" Type="http://schemas.openxmlformats.org/officeDocument/2006/relationships/fontTable" Target="fontTable.xml"/><Relationship Id="rId5" Type="http://schemas.openxmlformats.org/officeDocument/2006/relationships/image" Target="media/image2.wmf"/><Relationship Id="rId10" Type="http://schemas.openxmlformats.org/officeDocument/2006/relationships/image" Target="media/image7.wmf"/><Relationship Id="rId4" Type="http://schemas.openxmlformats.org/officeDocument/2006/relationships/image" Target="media/image1.wmf"/><Relationship Id="rId9" Type="http://schemas.openxmlformats.org/officeDocument/2006/relationships/image" Target="media/image6.w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1949</Words>
  <Characters>11699</Characters>
  <Application>Microsoft Office Word</Application>
  <DocSecurity>0</DocSecurity>
  <Lines>97</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2017-01-05T13:37:00Z</dcterms:created>
  <dcterms:modified xsi:type="dcterms:W3CDTF">2017-01-05T13:38:00Z</dcterms:modified>
</cp:coreProperties>
</file>