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Załącznik nr 2</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Do Uchwały Nr XIII/82/2015</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Rady Gminy Boleszkowice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z dnia 30 grudnia 2015 roku</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b/>
          <w:bCs/>
          <w:sz w:val="20"/>
          <w:szCs w:val="20"/>
        </w:rPr>
      </w:pP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b/>
          <w:bCs/>
          <w:sz w:val="20"/>
          <w:szCs w:val="20"/>
        </w:rPr>
      </w:pP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sz w:val="20"/>
          <w:szCs w:val="20"/>
        </w:rPr>
      </w:pPr>
      <w:r>
        <w:rPr>
          <w:b/>
          <w:bCs/>
          <w:sz w:val="20"/>
          <w:szCs w:val="20"/>
        </w:rPr>
        <w:t>UZASADNIENIE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rPr>
      </w:pPr>
      <w:r>
        <w:rPr>
          <w:b/>
          <w:bCs/>
          <w:sz w:val="20"/>
          <w:szCs w:val="20"/>
        </w:rPr>
        <w:t>Obja</w:t>
      </w:r>
      <w:r>
        <w:rPr>
          <w:rFonts w:ascii="Times New Roman" w:hAnsi="Times New Roman" w:cs="Times New Roman"/>
          <w:b/>
          <w:bCs/>
          <w:sz w:val="20"/>
          <w:szCs w:val="20"/>
        </w:rPr>
        <w:t>śnienia przyjętych wartości do Wieloletniej Prognozy F</w:t>
      </w:r>
      <w:r>
        <w:rPr>
          <w:rFonts w:ascii="Times New Roman" w:hAnsi="Times New Roman" w:cs="Times New Roman"/>
          <w:b/>
          <w:bCs/>
        </w:rPr>
        <w:t>inansowej Gminy Boleszkowice na lata 2016-2026.</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Obowi</w:t>
      </w:r>
      <w:r>
        <w:rPr>
          <w:rFonts w:ascii="Times New Roman" w:hAnsi="Times New Roman" w:cs="Times New Roman"/>
          <w:sz w:val="22"/>
          <w:szCs w:val="22"/>
        </w:rPr>
        <w:t>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 Wieloletniej Prognozie Finansowej Gminy Boleszkowice zastosowano wzory załączników (załącznik nr 1 oraz załącznik nr 2 do uchwały) zgodnie z Rozporządzeniem Ministra Finansów z dnia 8 sierpnia 2014 roku zmieniającym rozporządzenie w sprawie wieloletniej prognozy finansowej jednostki samorządu terytorialnego z dnia 10 stycznia 2013 roku (Dz. U. z 2014 r. poz. 1127).</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Podstawą opracowania Wieloletniej Prognozy Finansowej Gminy Boleszkowice jest projekt uchwały budżetowej na 2016 rok, dane sprawozdawcze z wykonania budżetu Gminy Boleszkowice za lata 2013 i 2014, wartości planowane na koniec III kwartału 2015 roku oraz wytyczne Ministra Finansów dotyczące założeń makroekonomicznych dla potrzeb sporządzania wieloletnich prognoz finansowych jednostek samorządu terytorialnego.</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Art. 227 ust. 1 ustawy z dnia 27 sierpnia 2009 roku o finansach publicznych (tj. Dz. U. z 2013 r. poz. 885 z </w:t>
      </w:r>
      <w:proofErr w:type="spellStart"/>
      <w:r>
        <w:rPr>
          <w:rFonts w:ascii="Times New Roman" w:hAnsi="Times New Roman" w:cs="Times New Roman"/>
          <w:sz w:val="22"/>
          <w:szCs w:val="22"/>
        </w:rPr>
        <w:t>późn</w:t>
      </w:r>
      <w:proofErr w:type="spellEnd"/>
      <w:r>
        <w:rPr>
          <w:rFonts w:ascii="Times New Roman" w:hAnsi="Times New Roman" w:cs="Times New Roman"/>
          <w:sz w:val="22"/>
          <w:szCs w:val="22"/>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2026. W związku z powyższym, Wieloletnia Prognoza Finansowa Gminy Boleszkowice została przygotowana na lata 2016-2026.</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Kwoty wydatków wynikające z limitów wydatków na przedsięwzięcia nie wykraczają poza okres prognozy kwoty długu. Nie planuje się także wydatków z tytułu niewymagalnych poręczeń i gwarancji, które przekraczałyby okres prognozy kwoty długu.</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1. Za</w:t>
      </w:r>
      <w:r>
        <w:rPr>
          <w:rFonts w:ascii="Times New Roman" w:hAnsi="Times New Roman" w:cs="Times New Roman"/>
          <w:b/>
          <w:bCs/>
        </w:rPr>
        <w:t>łożenia makroekonomiczne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Przy opracowaniu prognozy pozycji bud</w:t>
      </w:r>
      <w:r>
        <w:rPr>
          <w:rFonts w:ascii="Times New Roman" w:hAnsi="Times New Roman" w:cs="Times New Roman"/>
          <w:sz w:val="22"/>
          <w:szCs w:val="22"/>
        </w:rPr>
        <w:t>żetowych Gminy Boleszkowice wykorzystano dwa podstawowe mierniki koniunktury gospodarczej – produkt krajowy brutto (PKB) oraz wskaźnik inflacji (CPI). Na ich podstawie oszacowano wartości dochodów i wydatków Gminy Boleszkowice, co dzięki konstrukcji i zaawansowanym metodom dokonywania obliczeń, pozwoli realizować w przyszłości właściwą politykę finansową jednostki.</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 xml:space="preserve">Zgodnie z zaleceniami Ministra Finansów prognozę wskazanych mierników oparto o Wytyczne dotyczące </w:t>
      </w:r>
      <w:r>
        <w:rPr>
          <w:rFonts w:ascii="Times New Roman" w:hAnsi="Times New Roman" w:cs="Times New Roman"/>
          <w:sz w:val="22"/>
          <w:szCs w:val="22"/>
        </w:rPr>
        <w:lastRenderedPageBreak/>
        <w:t>założeń makroekonomicznych na potrzeby wieloletnich prognoz finansowych jednostek samorządu terytorialnego. Ostatnia dostępna aktualizacja ww. wytycznych miała miejsce 6 października 2015 roku, a dane wynikające z powołanego dokumentu prezentuje tabela 1.</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Prognozę oparto o następujące założenia:</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1) dla roku 2016 przyjęto wartości wynikające z projektu budżetu;</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2) dla lat 2017-2026 prognozę wykonano poprzez indeksację o wskaźniki dynamiki inflacji oraz dynamiki PKB.</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Podzielenie prognozy w powyższy sposób pozwala na realną ocenę możliwości inwestycyjno-kredytowych gminy.</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1. Dane makroekonomiczne przyj</w:t>
      </w:r>
      <w:r>
        <w:rPr>
          <w:rFonts w:ascii="Times New Roman" w:hAnsi="Times New Roman" w:cs="Times New Roman"/>
          <w:b/>
          <w:bCs/>
          <w:sz w:val="18"/>
          <w:szCs w:val="18"/>
        </w:rPr>
        <w:t>ęte do wyliczeń prognozy</w:t>
      </w:r>
    </w:p>
    <w:tbl>
      <w:tblPr>
        <w:tblW w:w="0" w:type="auto"/>
        <w:tblInd w:w="10" w:type="dxa"/>
        <w:tblLayout w:type="fixed"/>
        <w:tblCellMar>
          <w:left w:w="10" w:type="dxa"/>
          <w:right w:w="10" w:type="dxa"/>
        </w:tblCellMar>
        <w:tblLook w:val="0000" w:firstRow="0" w:lastRow="0" w:firstColumn="0" w:lastColumn="0" w:noHBand="0" w:noVBand="0"/>
      </w:tblPr>
      <w:tblGrid>
        <w:gridCol w:w="1070"/>
        <w:gridCol w:w="1070"/>
        <w:gridCol w:w="1070"/>
        <w:gridCol w:w="1070"/>
        <w:gridCol w:w="1070"/>
        <w:gridCol w:w="1070"/>
        <w:gridCol w:w="1070"/>
        <w:gridCol w:w="1070"/>
      </w:tblGrid>
      <w:tr w:rsidR="007F3A29">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0"/>
                <w:szCs w:val="20"/>
              </w:rPr>
            </w:pPr>
            <w:r>
              <w:rPr>
                <w:b/>
                <w:bCs/>
                <w:sz w:val="20"/>
                <w:szCs w:val="20"/>
              </w:rPr>
              <w:t>Wska</w:t>
            </w:r>
            <w:r>
              <w:rPr>
                <w:rFonts w:ascii="Times New Roman" w:hAnsi="Times New Roman" w:cs="Times New Roman"/>
                <w:b/>
                <w:bCs/>
                <w:sz w:val="20"/>
                <w:szCs w:val="20"/>
              </w:rPr>
              <w:t>źnik</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PKB</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3,70%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3,90%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3,80%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3,70%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3,40%</w:t>
            </w: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Inflacja</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2,10%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r>
      <w:tr w:rsidR="007F3A29">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Wska</w:t>
            </w:r>
            <w:r>
              <w:rPr>
                <w:rFonts w:ascii="Times New Roman" w:hAnsi="Times New Roman" w:cs="Times New Roman"/>
                <w:b/>
                <w:bCs/>
                <w:sz w:val="20"/>
                <w:szCs w:val="20"/>
              </w:rPr>
              <w:t>źnik</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3210" w:type="dxa"/>
            <w:gridSpan w:val="3"/>
            <w:vMerge w:val="restart"/>
            <w:tcBorders>
              <w:top w:val="single" w:sz="4" w:space="0" w:color="auto"/>
              <w:left w:val="single" w:sz="4" w:space="0" w:color="auto"/>
              <w:bottom w:val="nil"/>
              <w:right w:val="nil"/>
            </w:tcBorders>
            <w:tcMar>
              <w:right w:w="0" w:type="dxa"/>
            </w:tcMar>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PKB</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3,20%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3,10%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2,90%</w:t>
            </w:r>
          </w:p>
        </w:tc>
        <w:tc>
          <w:tcPr>
            <w:tcW w:w="3210" w:type="dxa"/>
            <w:gridSpan w:val="3"/>
            <w:vMerge/>
            <w:tcBorders>
              <w:top w:val="nil"/>
              <w:left w:val="single" w:sz="4" w:space="0" w:color="auto"/>
              <w:bottom w:val="single" w:sz="4" w:space="0" w:color="auto"/>
              <w:right w:val="nil"/>
            </w:tcBorders>
            <w:tcMar>
              <w:right w:w="0" w:type="dxa"/>
            </w:tcMar>
          </w:tcPr>
          <w:p w:rsidR="007F3A29" w:rsidRDefault="007F3A29">
            <w:pPr>
              <w:pStyle w:val="Normal"/>
              <w:rPr>
                <w:sz w:val="20"/>
                <w:szCs w:val="20"/>
              </w:rPr>
            </w:pP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Inflacja</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3210" w:type="dxa"/>
            <w:gridSpan w:val="3"/>
            <w:vMerge/>
            <w:tcBorders>
              <w:top w:val="nil"/>
              <w:left w:val="single" w:sz="4" w:space="0" w:color="auto"/>
              <w:bottom w:val="nil"/>
              <w:right w:val="nil"/>
            </w:tcBorders>
            <w:tcMar>
              <w:right w:w="0" w:type="dxa"/>
            </w:tcMar>
            <w:vAlign w:val="center"/>
          </w:tcPr>
          <w:p w:rsidR="007F3A29" w:rsidRDefault="007F3A29">
            <w:pPr>
              <w:pStyle w:val="Normal"/>
              <w:rPr>
                <w:sz w:val="20"/>
                <w:szCs w:val="20"/>
              </w:rPr>
            </w:pPr>
          </w:p>
        </w:tc>
      </w:tr>
    </w:tbl>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Wytyczne dotyczące założeń makroekonomicznych na potrzeby wieloletnich prognoz finansowych jednostek samorządu terytorialnego. Aktualizacja – październik 2015 r., (www.mf.gov.pl), Warszawa 2015.</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Zgodnie z przyj</w:t>
      </w:r>
      <w:r>
        <w:rPr>
          <w:rFonts w:ascii="Times New Roman" w:hAnsi="Times New Roman" w:cs="Times New Roman"/>
          <w:sz w:val="22"/>
          <w:szCs w:val="22"/>
        </w:rPr>
        <w:t>ętym założeniem, dochody i wydatki bieżące w roku 2016 uwzględnione w WPF wynikają z wartości zawartych w projekcie budżetu na 2016 rok. Od 2017 roku dochody i wydatki bieżące ustalono za pomocą wskaźników inflacji oraz wskaźnika dynamiki PKB. W tym celu, posłużono się metodą indeksacji wartości bazowych o odpowiednio przypisany dla każdej kategorii budżetowej wskaźnik. Waga zmiennej makroekonomicznej oznacza w jakim stopniu dochody lub wydatki zależą od poziomu wskaźnika z danego roku. Indeksowana zostaje wartość na rok przyszły.</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Sposób indeksacji za pomocą wag przedstawia poniższy wzór:</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971800" cy="180975"/>
            <wp:effectExtent l="0" t="0" r="0"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71800" cy="180975"/>
                    </a:xfrm>
                    <a:prstGeom prst="rect">
                      <a:avLst/>
                    </a:prstGeom>
                    <a:noFill/>
                    <a:ln>
                      <a:noFill/>
                    </a:ln>
                  </pic:spPr>
                </pic:pic>
              </a:graphicData>
            </a:graphic>
          </wp:inline>
        </w:drawing>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gdzie: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133350" cy="18097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Pr>
          <w:rFonts w:ascii="Times New Roman" w:hAnsi="Times New Roman" w:cs="Times New Roman"/>
          <w:sz w:val="22"/>
          <w:szCs w:val="22"/>
        </w:rPr>
        <w:t xml:space="preserve"> - wartość prognozowana danej kategorii dochodów bądź wydatków budżetowych;</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133350" cy="180975"/>
            <wp:effectExtent l="0" t="0" r="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Pr>
          <w:rFonts w:ascii="Times New Roman" w:hAnsi="Times New Roman" w:cs="Times New Roman"/>
          <w:sz w:val="22"/>
          <w:szCs w:val="22"/>
        </w:rPr>
        <w:t xml:space="preserve"> - wartość danej kategorii dochodów bądź wydatków budżetowych w roku poprzedzającym;</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47650" cy="18097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180975"/>
                    </a:xfrm>
                    <a:prstGeom prst="rect">
                      <a:avLst/>
                    </a:prstGeom>
                    <a:noFill/>
                    <a:ln>
                      <a:noFill/>
                    </a:ln>
                  </pic:spPr>
                </pic:pic>
              </a:graphicData>
            </a:graphic>
          </wp:inline>
        </w:drawing>
      </w:r>
      <w:r>
        <w:rPr>
          <w:rFonts w:ascii="Times New Roman" w:hAnsi="Times New Roman" w:cs="Times New Roman"/>
          <w:sz w:val="22"/>
          <w:szCs w:val="22"/>
        </w:rPr>
        <w:t xml:space="preserve"> - wartość wskaźnika inflacji w roku prognozowanym;</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76225" cy="18097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r>
        <w:rPr>
          <w:rFonts w:ascii="Times New Roman" w:hAnsi="Times New Roman" w:cs="Times New Roman"/>
          <w:sz w:val="22"/>
          <w:szCs w:val="22"/>
        </w:rPr>
        <w:t xml:space="preserve"> - waga przypisana wskaźnikowi CPI, będąca jego rzeczywistym wpływem na prognozowaną kategorię;</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400050" cy="1809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050" cy="180975"/>
                    </a:xfrm>
                    <a:prstGeom prst="rect">
                      <a:avLst/>
                    </a:prstGeom>
                    <a:noFill/>
                    <a:ln>
                      <a:noFill/>
                    </a:ln>
                  </pic:spPr>
                </pic:pic>
              </a:graphicData>
            </a:graphic>
          </wp:inline>
        </w:drawing>
      </w:r>
      <w:r>
        <w:rPr>
          <w:rFonts w:ascii="Times New Roman" w:hAnsi="Times New Roman" w:cs="Times New Roman"/>
          <w:sz w:val="22"/>
          <w:szCs w:val="22"/>
        </w:rPr>
        <w:t xml:space="preserve"> - wskaźnik dynamiki PKB;</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381000" cy="1809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rPr>
          <w:rFonts w:ascii="Times New Roman" w:hAnsi="Times New Roman" w:cs="Times New Roman"/>
          <w:sz w:val="22"/>
          <w:szCs w:val="22"/>
        </w:rPr>
        <w:t xml:space="preserve"> - waga przypisana wskaźnikowi dynamiki PKB, będąca jego rzeczywistym wpływem na prognozowaną kategorię.</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lastRenderedPageBreak/>
        <w:t>2. Dochody</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Prognozy dochod</w:t>
      </w:r>
      <w:r>
        <w:rPr>
          <w:rFonts w:ascii="Times New Roman" w:hAnsi="Times New Roman" w:cs="Times New Roman"/>
          <w:sz w:val="22"/>
          <w:szCs w:val="22"/>
        </w:rPr>
        <w:t>ów Gminy Boleszkowice dokonano w podziałach merytorycznych, a następnie sklasyfikowano w podziały wymagane ustawowo. Podział merytoryczny został sporządzony za pomocą paragrafów klasyfikacji budżetowej i objął dochody bieżące i majątkowe.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Dochody bieżące prognozowano w podziale na:</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1. podatki i opłaty lokalne (w tym: podatek od nieruchomości);</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2. udział w podatkach centralnych (w tym PIT i CIT);</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3. subwencję ogólną;</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4. dotacje i środki przeznaczone na cele bieżące (na zadania zlecone i powierzone oraz na zadania własne);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5. pozostałe dochody (w tym: grzywny i kary pieniężne, wpływy z usług, odsetki od środków na rachunkach bankowych).</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Dochody majątkowe prognozowano w podziale na:</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1. dochody z majątku (w tym sprzedaż mienia);</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2. dotacje i środki przeznaczone na inwestycje;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3. pozostałe dochody.</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2.1 Dochody bie</w:t>
      </w:r>
      <w:r>
        <w:rPr>
          <w:rFonts w:ascii="Times New Roman" w:hAnsi="Times New Roman" w:cs="Times New Roman"/>
          <w:b/>
          <w:bCs/>
          <w:sz w:val="22"/>
          <w:szCs w:val="22"/>
        </w:rPr>
        <w:t>żące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0"/>
          <w:szCs w:val="20"/>
        </w:rPr>
      </w:pPr>
      <w:r>
        <w:rPr>
          <w:sz w:val="22"/>
          <w:szCs w:val="22"/>
        </w:rPr>
        <w:t>Uwzgl</w:t>
      </w:r>
      <w:r>
        <w:rPr>
          <w:rFonts w:ascii="Times New Roman" w:hAnsi="Times New Roman" w:cs="Times New Roman"/>
          <w:sz w:val="22"/>
          <w:szCs w:val="22"/>
        </w:rPr>
        <w:t xml:space="preserve">ędniając dotychczasowe kształtowanie się dochodów budżetu Gminy Boleszkowice oraz przewidywania na następne lata, w poszczególnych kategoriach dochodów bieżących posłużono się metodą indeksacji wartości </w:t>
      </w:r>
      <w:r>
        <w:rPr>
          <w:rFonts w:ascii="Times New Roman" w:hAnsi="Times New Roman" w:cs="Times New Roman"/>
          <w:sz w:val="20"/>
          <w:szCs w:val="20"/>
        </w:rPr>
        <w:t>bazowych o odpowiednio przypisany dla każdej kategorii budżetowej wskaźnik.</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Podatek od nieruchomo</w:t>
      </w:r>
      <w:r>
        <w:rPr>
          <w:rFonts w:ascii="Times New Roman" w:hAnsi="Times New Roman" w:cs="Times New Roman"/>
          <w:b/>
          <w:bCs/>
          <w:sz w:val="22"/>
          <w:szCs w:val="22"/>
        </w:rPr>
        <w:t>ści</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Stosownie do przepis</w:t>
      </w:r>
      <w:r>
        <w:rPr>
          <w:rFonts w:ascii="Times New Roman" w:hAnsi="Times New Roman" w:cs="Times New Roman"/>
          <w:sz w:val="22"/>
          <w:szCs w:val="22"/>
        </w:rPr>
        <w:t>ów ustawy o podatkach i opłatach lokalnych wysokość stawek podatku od nieruchomości nie mogą przekroczyć górnych granic stawek kwotowych ogłoszonych przez Ministra Finansów. Wpływy z tytułu podatku od nieruchomości na 2016 rok zaplanowano w oparciu o uchwałę nr XI/66/2015 w sprawie ustalenia rocznych stawek podatku od nieruchomości na 2016 rok.</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 latach następnych zakłada się wzrostowy trend wpływów z tego podatku i zwiększanie dochodów będących konsekwencją planowanego wzrostu stawek podatkowych oraz corocznego przyrostu przedmiotów opodatkowania związanych z prowadzeniem działalności gospodarczej oraz budynków mieszkalnych.</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b/>
          <w:bCs/>
          <w:sz w:val="22"/>
          <w:szCs w:val="22"/>
        </w:rPr>
        <w:t>Udzia</w:t>
      </w:r>
      <w:r>
        <w:rPr>
          <w:rFonts w:ascii="Times New Roman" w:hAnsi="Times New Roman" w:cs="Times New Roman"/>
          <w:b/>
          <w:bCs/>
          <w:sz w:val="22"/>
          <w:szCs w:val="22"/>
        </w:rPr>
        <w:t>ł w podatkach centralnych</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 xml:space="preserve">Jako, </w:t>
      </w:r>
      <w:r>
        <w:rPr>
          <w:rFonts w:ascii="Times New Roman" w:hAnsi="Times New Roman" w:cs="Times New Roman"/>
          <w:sz w:val="22"/>
          <w:szCs w:val="22"/>
        </w:rPr>
        <w:t>że ta grupa dochodów pozostaje w bardzo silnym związku z sytuacją makroekonomiczną kraju, przy szacowaniu dochodów z tytułu udziałów w podatku dochodowym od osób fizycznych (PIT) oraz od osób prawnych (CIT) w latach 2016-2026 wzięto pod uwagę założony wskaźnik PKB.</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b/>
          <w:bCs/>
          <w:sz w:val="22"/>
          <w:szCs w:val="22"/>
        </w:rPr>
        <w:t>Subwencje i dotacje na zadania bie</w:t>
      </w:r>
      <w:r>
        <w:rPr>
          <w:rFonts w:ascii="Times New Roman" w:hAnsi="Times New Roman" w:cs="Times New Roman"/>
          <w:b/>
          <w:bCs/>
          <w:sz w:val="22"/>
          <w:szCs w:val="22"/>
        </w:rPr>
        <w:t>żące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Planowan</w:t>
      </w:r>
      <w:r>
        <w:rPr>
          <w:rFonts w:ascii="Times New Roman" w:hAnsi="Times New Roman" w:cs="Times New Roman"/>
          <w:sz w:val="22"/>
          <w:szCs w:val="22"/>
        </w:rPr>
        <w:t xml:space="preserve">ą kwotę subwencji ogólnej oraz dotacji celowych z budżetu państwa (innych niż środki na dofinansowanie realizacji projektów europejskich) na 2016 rok przyjęto w oparciu o informacje przekazane przez Ministra Finansów. W kolejnych latach prognozy założono wzrost kwoty otrzymywanych dotychczas cyklicznych subwencji i dotacji celowych z budżetu państwa w oparciu </w:t>
      </w:r>
      <w:r>
        <w:rPr>
          <w:rFonts w:ascii="Times New Roman" w:hAnsi="Times New Roman" w:cs="Times New Roman"/>
          <w:sz w:val="22"/>
          <w:szCs w:val="22"/>
        </w:rPr>
        <w:lastRenderedPageBreak/>
        <w:t>o prognozowany wskaźnik PKB.</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2.2 Dochody maj</w:t>
      </w:r>
      <w:r>
        <w:rPr>
          <w:rFonts w:ascii="Times New Roman" w:hAnsi="Times New Roman" w:cs="Times New Roman"/>
          <w:b/>
          <w:bCs/>
          <w:sz w:val="22"/>
          <w:szCs w:val="22"/>
        </w:rPr>
        <w:t>ątkowe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Waloryzacji o wska</w:t>
      </w:r>
      <w:r>
        <w:rPr>
          <w:rFonts w:ascii="Times New Roman" w:hAnsi="Times New Roman" w:cs="Times New Roman"/>
          <w:sz w:val="22"/>
          <w:szCs w:val="22"/>
        </w:rPr>
        <w:t>źniki makroekonomiczne nie poddano dochodów o charakterze majątkowym. Dochody majątkowe, w tym przede wszystkim dochody ze sprzedaży majątku pozbawione są regularności, a ich poziom uzależniony jest od czynników niezależnych, jak np. koniunktura na rynku nieruchomości.</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 2016 roku dochody ze sprzedaży majątku zaplanowano na poziomie 1 000 000,00 zł. Bazując na informacjach o wykonaniu dochodów majątkowych w poprzednich latach, należy stwierdzić, że zaplanowana kwota jest realna, ryzyko ich niewykonania jest minimalne, a sama sprzedaż mienia została zaplanowana przy dochowaniu najwyższej staranności.</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Wartość zaplanowanych w 2016 roku dochodów ze sprzedaży ma zapewnić sprzedaż nieruchomości, których wykaz zaprezentowano w poniższej tabeli.</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3. Wykaz nieruchomo</w:t>
      </w:r>
      <w:r>
        <w:rPr>
          <w:rFonts w:ascii="Times New Roman" w:hAnsi="Times New Roman" w:cs="Times New Roman"/>
          <w:b/>
          <w:bCs/>
          <w:sz w:val="18"/>
          <w:szCs w:val="18"/>
        </w:rPr>
        <w:t>ści planowanych do sprzedaży w 2016 roku</w:t>
      </w:r>
    </w:p>
    <w:tbl>
      <w:tblPr>
        <w:tblW w:w="0" w:type="auto"/>
        <w:tblInd w:w="10" w:type="dxa"/>
        <w:tblLayout w:type="fixed"/>
        <w:tblCellMar>
          <w:left w:w="10" w:type="dxa"/>
          <w:right w:w="10" w:type="dxa"/>
        </w:tblCellMar>
        <w:tblLook w:val="0000" w:firstRow="0" w:lastRow="0" w:firstColumn="0" w:lastColumn="0" w:noHBand="0" w:noVBand="0"/>
      </w:tblPr>
      <w:tblGrid>
        <w:gridCol w:w="1843"/>
        <w:gridCol w:w="3402"/>
        <w:gridCol w:w="1559"/>
        <w:gridCol w:w="1843"/>
      </w:tblGrid>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sz w:val="20"/>
                <w:szCs w:val="20"/>
              </w:rPr>
              <w:t>Po</w:t>
            </w:r>
            <w:r>
              <w:rPr>
                <w:rFonts w:ascii="Times New Roman" w:hAnsi="Times New Roman" w:cs="Times New Roman"/>
                <w:sz w:val="20"/>
                <w:szCs w:val="20"/>
              </w:rPr>
              <w:t>łożenie nieruchomości</w:t>
            </w:r>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Nr działki i obręb</w:t>
            </w:r>
          </w:p>
        </w:tc>
        <w:tc>
          <w:tcPr>
            <w:tcW w:w="1559"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Powierzchnia [ha]</w:t>
            </w:r>
          </w:p>
        </w:tc>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Planowany dochód</w:t>
            </w:r>
          </w:p>
        </w:tc>
      </w:tr>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Porzecze</w:t>
            </w:r>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 xml:space="preserve">97 - przy drodze wojewódzkiej przy posesji Państwa </w:t>
            </w:r>
            <w:proofErr w:type="spellStart"/>
            <w:r>
              <w:rPr>
                <w:rFonts w:ascii="Times New Roman" w:hAnsi="Times New Roman" w:cs="Times New Roman"/>
                <w:sz w:val="20"/>
                <w:szCs w:val="20"/>
              </w:rPr>
              <w:t>Hawryszków</w:t>
            </w:r>
            <w:proofErr w:type="spellEnd"/>
          </w:p>
        </w:tc>
        <w:tc>
          <w:tcPr>
            <w:tcW w:w="1559"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0,0259</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5.000</w:t>
            </w:r>
          </w:p>
        </w:tc>
      </w:tr>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roofErr w:type="spellStart"/>
            <w:r>
              <w:rPr>
                <w:rFonts w:ascii="Times New Roman" w:hAnsi="Times New Roman" w:cs="Times New Roman"/>
                <w:sz w:val="20"/>
                <w:szCs w:val="20"/>
              </w:rPr>
              <w:t>Gudzisz</w:t>
            </w:r>
            <w:proofErr w:type="spellEnd"/>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105/8 – była szkoła podstawowa</w:t>
            </w:r>
          </w:p>
        </w:tc>
        <w:tc>
          <w:tcPr>
            <w:tcW w:w="1559"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0,6589</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180.000</w:t>
            </w:r>
          </w:p>
        </w:tc>
      </w:tr>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Namyślin</w:t>
            </w:r>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233/5 – za pierwszą linią domów przy drodze wojewódzkiej</w:t>
            </w:r>
          </w:p>
        </w:tc>
        <w:tc>
          <w:tcPr>
            <w:tcW w:w="1559"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0,1802</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30.000</w:t>
            </w:r>
          </w:p>
        </w:tc>
      </w:tr>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Boleszkowice</w:t>
            </w:r>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1652/2 – przy drodze krajowej nr 31</w:t>
            </w:r>
          </w:p>
        </w:tc>
        <w:tc>
          <w:tcPr>
            <w:tcW w:w="1559"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1,5936</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250.000</w:t>
            </w:r>
          </w:p>
        </w:tc>
      </w:tr>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Boleszkowice</w:t>
            </w:r>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1353/58 – przy ul. Osadników</w:t>
            </w:r>
          </w:p>
        </w:tc>
        <w:tc>
          <w:tcPr>
            <w:tcW w:w="1559"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0,1543</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20.000</w:t>
            </w:r>
          </w:p>
        </w:tc>
      </w:tr>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Chwarszczany</w:t>
            </w:r>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399/1</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399/2</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399/3</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399/4</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399/5</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Przy drodze wojewódzkiej, przy boisku sportowym</w:t>
            </w:r>
          </w:p>
        </w:tc>
        <w:tc>
          <w:tcPr>
            <w:tcW w:w="1559"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0,1144</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0,1075</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0,1072</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0,1091</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0,1073</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125.000</w:t>
            </w:r>
          </w:p>
        </w:tc>
      </w:tr>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Namyślin</w:t>
            </w:r>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110/14</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110/15</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599/3</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599/4</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599/5</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Przy drodze Namyślin-Chlewice</w:t>
            </w:r>
          </w:p>
        </w:tc>
        <w:tc>
          <w:tcPr>
            <w:tcW w:w="1559"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0,0886</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0,0936</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0,1117</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0,1162</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0,1177</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100.000</w:t>
            </w:r>
          </w:p>
        </w:tc>
      </w:tr>
      <w:tr w:rsidR="007F3A29">
        <w:tc>
          <w:tcPr>
            <w:tcW w:w="1843"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Chlewice</w:t>
            </w:r>
          </w:p>
        </w:tc>
        <w:tc>
          <w:tcPr>
            <w:tcW w:w="340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199/1, 197, 196, 193/1, 193/2, 192/1, 189/1, 213/1, 212/1, 211/1, 210/1, 209/1, 222/1, 220/1, 130, 129, 128, 127, 125/1, 222/21, 222/22</w:t>
            </w: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Grunty rolne i łąki przy rzece Odra</w:t>
            </w:r>
          </w:p>
        </w:tc>
        <w:tc>
          <w:tcPr>
            <w:tcW w:w="1559"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23,5 ha</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290.000</w:t>
            </w:r>
          </w:p>
        </w:tc>
      </w:tr>
      <w:tr w:rsidR="007F3A29">
        <w:tc>
          <w:tcPr>
            <w:tcW w:w="6804" w:type="dxa"/>
            <w:gridSpan w:val="3"/>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RAZEM</w:t>
            </w:r>
          </w:p>
        </w:tc>
        <w:tc>
          <w:tcPr>
            <w:tcW w:w="1843"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1.000.000</w:t>
            </w:r>
          </w:p>
        </w:tc>
      </w:tr>
    </w:tbl>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b/>
          <w:bCs/>
        </w:rPr>
      </w:pP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3. Wydatki</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Prognozy wydatk</w:t>
      </w:r>
      <w:r>
        <w:rPr>
          <w:rFonts w:ascii="Times New Roman" w:hAnsi="Times New Roman" w:cs="Times New Roman"/>
          <w:sz w:val="22"/>
          <w:szCs w:val="22"/>
        </w:rPr>
        <w:t>ów Gminy Boleszkowice dokonano w podziale na kategorie wydatków bieżących i wydatków majątkowych.</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lastRenderedPageBreak/>
        <w:t>3.1 Wydatki bie</w:t>
      </w:r>
      <w:r>
        <w:rPr>
          <w:rFonts w:ascii="Times New Roman" w:hAnsi="Times New Roman" w:cs="Times New Roman"/>
          <w:b/>
          <w:bCs/>
          <w:sz w:val="22"/>
          <w:szCs w:val="22"/>
        </w:rPr>
        <w:t>żące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Wydatki bie</w:t>
      </w:r>
      <w:r>
        <w:rPr>
          <w:rFonts w:ascii="Times New Roman" w:hAnsi="Times New Roman" w:cs="Times New Roman"/>
          <w:sz w:val="22"/>
          <w:szCs w:val="22"/>
        </w:rPr>
        <w:t>żące prognozowano w podziale na:</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1) wydatki na poręczenia i gwarancje;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2) wydatki związane z obsługą zadłużenia, w tym odsetki i dyskonto;</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3) wynagrodzenia i składki od nich naliczane;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4) pozostałe wydatki bieżące.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Zgodnie z założeniami przyjętymi przy prognozie dochodów, dla wydatków bieżących w roku 2016 przyjęto projekt budżetu. W latach 2017-2026 dokonano indeksacji o wagi wskaźników inflacji i PKB. O ile w przypadku wydatków na wynagrodzenia, pochodnych od wynagrodzeń i pozostałych wydatków bieżących możliwość zastosowania indeksacji jest uzasadniona, o tyle wydatki związane z obsługą długu są ściśle uzależnione od zawartych w umowach kredytowych, pożyczkowych i emisji obligacji postanowień.</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3.2 Wydatki maj</w:t>
      </w:r>
      <w:r>
        <w:rPr>
          <w:rFonts w:ascii="Times New Roman" w:hAnsi="Times New Roman" w:cs="Times New Roman"/>
          <w:b/>
          <w:bCs/>
          <w:sz w:val="22"/>
          <w:szCs w:val="22"/>
        </w:rPr>
        <w:t>ątkowe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Wydatki maj</w:t>
      </w:r>
      <w:r>
        <w:rPr>
          <w:rFonts w:ascii="Times New Roman" w:hAnsi="Times New Roman" w:cs="Times New Roman"/>
          <w:sz w:val="22"/>
          <w:szCs w:val="22"/>
        </w:rPr>
        <w:t>ątkowe obejmują przede wszystkim przedsięwzięcia inwestycyjne, które ujęto w załączniku nr 2 do Wieloletniej Prognozy Finansowej Gminy Boleszkowice na lata 2016-2019. W kolejnych latach wydatki majątkowe zostały zaplanowane tak aby pokryły pozostałą po spłacie zobowiązań część tzw. wolnych środków.</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Oprócz przedsięwzięć przewidzianych w WPF zaplanowano niezbędne wydatki, takie jak: dotacje celowe dla JST wynikające z ustawy o ochronie gruntów rolnych i leśnych, wydatki na pozyskanie gruntów pod inwestycje drogowe itp.</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4. Wynik bud</w:t>
      </w:r>
      <w:r>
        <w:rPr>
          <w:rFonts w:ascii="Times New Roman" w:hAnsi="Times New Roman" w:cs="Times New Roman"/>
          <w:b/>
          <w:bCs/>
        </w:rPr>
        <w:t>żetu</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Wynik bud</w:t>
      </w:r>
      <w:r>
        <w:rPr>
          <w:rFonts w:ascii="Times New Roman" w:hAnsi="Times New Roman" w:cs="Times New Roman"/>
          <w:sz w:val="22"/>
          <w:szCs w:val="22"/>
        </w:rPr>
        <w:t>żetu w prognozowanym okresie jest ściśle powiązany z przyjętymi założeniami do prognozy dochodów i wydatków. Fakt prognozowania w oparciu o dane makroekonomiczne o niewielkiej zmienności powoduje zrównoważony i stabilny wzrost dochodów oraz wydatków bieżących, któremu można przypisać cechy statystyczne. W całym prognozowanym okresie utrzymana została relacja z art. 242 (brak deficytu bieżącego). Ponadto wynik finansowy budżetu został sprowadzony do 0 w całym badanym okresie.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4. Wynik bud</w:t>
      </w:r>
      <w:r>
        <w:rPr>
          <w:rFonts w:ascii="Times New Roman" w:hAnsi="Times New Roman" w:cs="Times New Roman"/>
          <w:b/>
          <w:bCs/>
          <w:sz w:val="18"/>
          <w:szCs w:val="18"/>
        </w:rPr>
        <w:t>żetu Gminy Boleszkowice</w:t>
      </w:r>
    </w:p>
    <w:tbl>
      <w:tblPr>
        <w:tblW w:w="0" w:type="auto"/>
        <w:tblInd w:w="10" w:type="dxa"/>
        <w:tblLayout w:type="fixed"/>
        <w:tblCellMar>
          <w:left w:w="10" w:type="dxa"/>
          <w:right w:w="10" w:type="dxa"/>
        </w:tblCellMar>
        <w:tblLook w:val="0000" w:firstRow="0" w:lastRow="0" w:firstColumn="0" w:lastColumn="0" w:noHBand="0" w:noVBand="0"/>
      </w:tblPr>
      <w:tblGrid>
        <w:gridCol w:w="1712"/>
        <w:gridCol w:w="1712"/>
        <w:gridCol w:w="1712"/>
        <w:gridCol w:w="1712"/>
        <w:gridCol w:w="1712"/>
      </w:tblGrid>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11 040 537,00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11 729 509,00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12 859 667,00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11 932 899,00</w:t>
            </w: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11 840 735,00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13 255 505,00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13 414 797,00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12 048 649,00</w:t>
            </w: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-800 198,00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-1 525 996,00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-555 130,00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-115 750,00</w:t>
            </w: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12 840 598,00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14 101 418,00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13 009 486,00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12 724 187,00</w:t>
            </w: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12 271 246,00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13 672 054,00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12 375 615,00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12 214 598,00</w:t>
            </w: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569 352,00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429 364,00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633 871,00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712"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13 167 878,00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13 220 490,00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13 328 064,00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12 658 289,00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12 710 901,00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11 818 516,00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r w:rsidR="007F3A29">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 xml:space="preserve"> 509 548,00</w:t>
            </w:r>
          </w:p>
        </w:tc>
        <w:tc>
          <w:tcPr>
            <w:tcW w:w="1712"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bl>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b/>
          <w:bCs/>
        </w:rPr>
      </w:pP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bookmarkStart w:id="0" w:name="_GoBack"/>
      <w:bookmarkEnd w:id="0"/>
      <w:r>
        <w:rPr>
          <w:b/>
          <w:bCs/>
        </w:rPr>
        <w:lastRenderedPageBreak/>
        <w:t>5. Przychody</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22"/>
          <w:szCs w:val="22"/>
        </w:rPr>
      </w:pPr>
      <w:r>
        <w:rPr>
          <w:sz w:val="22"/>
          <w:szCs w:val="22"/>
        </w:rPr>
        <w:t>W okresie obj</w:t>
      </w:r>
      <w:r>
        <w:rPr>
          <w:rFonts w:ascii="Times New Roman" w:hAnsi="Times New Roman" w:cs="Times New Roman"/>
          <w:sz w:val="22"/>
          <w:szCs w:val="22"/>
        </w:rPr>
        <w:t>ętym prognozą planuje się pozyskać przychody w roku 2016 na pokrycie planowanego deficytu budżetowego</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rFonts w:ascii="Times New Roman" w:hAnsi="Times New Roman" w:cs="Times New Roman"/>
          <w:sz w:val="20"/>
          <w:szCs w:val="20"/>
        </w:rPr>
      </w:pPr>
      <w:r>
        <w:rPr>
          <w:rFonts w:ascii="Times New Roman" w:hAnsi="Times New Roman" w:cs="Times New Roman"/>
          <w:sz w:val="20"/>
          <w:szCs w:val="20"/>
        </w:rPr>
        <w:t>W okresie objętym prognozą planuje się zaciągnąć nowe zobowiązanie.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b/>
          <w:bCs/>
          <w:sz w:val="20"/>
          <w:szCs w:val="20"/>
        </w:rPr>
      </w:pP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rFonts w:ascii="Times New Roman" w:hAnsi="Times New Roman" w:cs="Times New Roman"/>
        </w:rPr>
      </w:pPr>
      <w:r>
        <w:rPr>
          <w:b/>
          <w:bCs/>
        </w:rPr>
        <w:t>6. Rozchody</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Na dzie</w:t>
      </w:r>
      <w:r>
        <w:rPr>
          <w:rFonts w:ascii="Times New Roman" w:hAnsi="Times New Roman" w:cs="Times New Roman"/>
          <w:sz w:val="22"/>
          <w:szCs w:val="22"/>
        </w:rPr>
        <w:t>ń 01.01.2016 kwota zadłużenia, wpływająca na kształtowanie się wskaźnika faktycznej obsługi zadłużenia, wynikająca z zaciągniętych kredytów, pożyczek i wyemitowanych obligacji wynosi 1920599 zł, a jego spłata planowana jest do roku 2026.</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7. Relacja z art. 243 ustawy o finansach publicznych</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Zgodnie z art. 243 ust. 1 ustawy z dnia 27 sierpnia 2009 r. o finansach publicznych (tj. Dz. U. z 2013 r. poz. 885 z </w:t>
      </w:r>
      <w:proofErr w:type="spellStart"/>
      <w:r>
        <w:rPr>
          <w:sz w:val="22"/>
          <w:szCs w:val="22"/>
        </w:rPr>
        <w:t>p</w:t>
      </w:r>
      <w:r>
        <w:rPr>
          <w:rFonts w:ascii="Times New Roman" w:hAnsi="Times New Roman" w:cs="Times New Roman"/>
          <w:sz w:val="22"/>
          <w:szCs w:val="22"/>
        </w:rPr>
        <w:t>óźn</w:t>
      </w:r>
      <w:proofErr w:type="spellEnd"/>
      <w:r>
        <w:rPr>
          <w:rFonts w:ascii="Times New Roman" w:hAnsi="Times New Roman" w:cs="Times New Roman"/>
          <w:sz w:val="22"/>
          <w:szCs w:val="22"/>
        </w:rPr>
        <w:t>. zm.) od 1 stycznia 2014 r. obowiązuje indywidualny wskaźnik zadłużenia dla samorządów. Według przepisów roczna wartość spłat zobowiązań i ich obsługi do planowanych dochodów nie może przekroczyć wskaźnika opartego na średniej arytmetycznej z obliczonych dla ostatnich 3 lat relacji dochodów bieżących, powiększonych o wpływy uzyskane ze sprzedaży majątku oraz pomniejszonych o wydatki bieżące, do dochodów ogółem.</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5. Kszta</w:t>
      </w:r>
      <w:r>
        <w:rPr>
          <w:rFonts w:ascii="Times New Roman" w:hAnsi="Times New Roman" w:cs="Times New Roman"/>
          <w:b/>
          <w:bCs/>
          <w:sz w:val="18"/>
          <w:szCs w:val="18"/>
        </w:rPr>
        <w:t xml:space="preserve">łtowanie się relacji z art. 243 </w:t>
      </w:r>
      <w:proofErr w:type="spellStart"/>
      <w:r>
        <w:rPr>
          <w:rFonts w:ascii="Times New Roman" w:hAnsi="Times New Roman" w:cs="Times New Roman"/>
          <w:b/>
          <w:bCs/>
          <w:sz w:val="18"/>
          <w:szCs w:val="18"/>
        </w:rPr>
        <w:t>u.f.p</w:t>
      </w:r>
      <w:proofErr w:type="spellEnd"/>
      <w:r>
        <w:rPr>
          <w:rFonts w:ascii="Times New Roman" w:hAnsi="Times New Roman" w:cs="Times New Roman"/>
          <w:b/>
          <w:bCs/>
          <w:sz w:val="18"/>
          <w:szCs w:val="18"/>
        </w:rPr>
        <w:t>.</w:t>
      </w:r>
    </w:p>
    <w:tbl>
      <w:tblPr>
        <w:tblW w:w="0" w:type="auto"/>
        <w:tblInd w:w="10" w:type="dxa"/>
        <w:tblLayout w:type="fixed"/>
        <w:tblCellMar>
          <w:left w:w="10" w:type="dxa"/>
          <w:right w:w="10" w:type="dxa"/>
        </w:tblCellMar>
        <w:tblLook w:val="0000" w:firstRow="0" w:lastRow="0" w:firstColumn="0" w:lastColumn="0" w:noHBand="0" w:noVBand="0"/>
      </w:tblPr>
      <w:tblGrid>
        <w:gridCol w:w="1070"/>
        <w:gridCol w:w="1070"/>
        <w:gridCol w:w="1070"/>
        <w:gridCol w:w="1070"/>
        <w:gridCol w:w="1070"/>
        <w:gridCol w:w="1070"/>
        <w:gridCol w:w="1070"/>
        <w:gridCol w:w="1070"/>
      </w:tblGrid>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Obs</w:t>
            </w:r>
            <w:r>
              <w:rPr>
                <w:rFonts w:ascii="Times New Roman" w:hAnsi="Times New Roman" w:cs="Times New Roman"/>
                <w:b/>
                <w:bCs/>
                <w:sz w:val="18"/>
                <w:szCs w:val="18"/>
              </w:rPr>
              <w:t xml:space="preserve">ługa zadłużenia (po </w:t>
            </w:r>
            <w:proofErr w:type="spellStart"/>
            <w:r>
              <w:rPr>
                <w:rFonts w:ascii="Times New Roman" w:hAnsi="Times New Roman" w:cs="Times New Roman"/>
                <w:b/>
                <w:bCs/>
                <w:sz w:val="18"/>
                <w:szCs w:val="18"/>
              </w:rPr>
              <w:t>wyłączeniach</w:t>
            </w:r>
            <w:proofErr w:type="spellEnd"/>
            <w:r>
              <w:rPr>
                <w:rFonts w:ascii="Times New Roman" w:hAnsi="Times New Roman" w:cs="Times New Roman"/>
                <w:b/>
                <w:bCs/>
                <w:sz w:val="18"/>
                <w:szCs w:val="18"/>
              </w:rPr>
              <w:t>)</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4,80%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Maksymalna obs</w:t>
            </w:r>
            <w:r>
              <w:rPr>
                <w:rFonts w:ascii="Times New Roman" w:hAnsi="Times New Roman" w:cs="Times New Roman"/>
                <w:b/>
                <w:bCs/>
                <w:sz w:val="18"/>
                <w:szCs w:val="18"/>
              </w:rPr>
              <w:t>ługa zadłużenia</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8,66%</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4,50%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2,90%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3,68%</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4,06%</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1,72%</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1,24%</w:t>
            </w: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Zachowanie relacji z art. 243</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070" w:type="dxa"/>
            <w:tcBorders>
              <w:top w:val="single" w:sz="4" w:space="0" w:color="auto"/>
              <w:left w:val="single" w:sz="4" w:space="0" w:color="auto"/>
              <w:bottom w:val="single" w:sz="4" w:space="0" w:color="auto"/>
              <w:right w:val="single" w:sz="4" w:space="0" w:color="auto"/>
            </w:tcBorders>
            <w:vAlign w:val="bottom"/>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3210" w:type="dxa"/>
            <w:gridSpan w:val="3"/>
            <w:vMerge w:val="restart"/>
            <w:tcBorders>
              <w:top w:val="single" w:sz="4" w:space="0" w:color="auto"/>
              <w:left w:val="single" w:sz="4" w:space="0" w:color="auto"/>
              <w:bottom w:val="nil"/>
              <w:right w:val="nil"/>
            </w:tcBorders>
            <w:tcMar>
              <w:right w:w="0" w:type="dxa"/>
            </w:tcMar>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Obs</w:t>
            </w:r>
            <w:r>
              <w:rPr>
                <w:rFonts w:ascii="Times New Roman" w:hAnsi="Times New Roman" w:cs="Times New Roman"/>
                <w:b/>
                <w:bCs/>
                <w:sz w:val="18"/>
                <w:szCs w:val="18"/>
              </w:rPr>
              <w:t xml:space="preserve">ługa zadłużenia (po </w:t>
            </w:r>
            <w:proofErr w:type="spellStart"/>
            <w:r>
              <w:rPr>
                <w:rFonts w:ascii="Times New Roman" w:hAnsi="Times New Roman" w:cs="Times New Roman"/>
                <w:b/>
                <w:bCs/>
                <w:sz w:val="18"/>
                <w:szCs w:val="18"/>
              </w:rPr>
              <w:t>wyłączeniach</w:t>
            </w:r>
            <w:proofErr w:type="spellEnd"/>
            <w:r>
              <w:rPr>
                <w:rFonts w:ascii="Times New Roman" w:hAnsi="Times New Roman" w:cs="Times New Roman"/>
                <w:b/>
                <w:bCs/>
                <w:sz w:val="18"/>
                <w:szCs w:val="18"/>
              </w:rPr>
              <w:t>)</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3210" w:type="dxa"/>
            <w:gridSpan w:val="3"/>
            <w:vMerge/>
            <w:tcBorders>
              <w:top w:val="nil"/>
              <w:left w:val="single" w:sz="4" w:space="0" w:color="auto"/>
              <w:bottom w:val="single" w:sz="4" w:space="0" w:color="auto"/>
              <w:right w:val="nil"/>
            </w:tcBorders>
            <w:tcMar>
              <w:right w:w="0" w:type="dxa"/>
            </w:tcMar>
          </w:tcPr>
          <w:p w:rsidR="007F3A29" w:rsidRDefault="007F3A29">
            <w:pPr>
              <w:pStyle w:val="Normal"/>
              <w:rPr>
                <w:sz w:val="20"/>
                <w:szCs w:val="20"/>
              </w:rPr>
            </w:pP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Maksymalna obs</w:t>
            </w:r>
            <w:r>
              <w:rPr>
                <w:rFonts w:ascii="Times New Roman" w:hAnsi="Times New Roman" w:cs="Times New Roman"/>
                <w:b/>
                <w:bCs/>
                <w:sz w:val="18"/>
                <w:szCs w:val="18"/>
              </w:rPr>
              <w:t>ługa zadłużenia</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1,86%</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2,36%</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2,19%</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1,68%</w:t>
            </w:r>
          </w:p>
        </w:tc>
        <w:tc>
          <w:tcPr>
            <w:tcW w:w="3210" w:type="dxa"/>
            <w:gridSpan w:val="3"/>
            <w:vMerge/>
            <w:tcBorders>
              <w:top w:val="nil"/>
              <w:left w:val="single" w:sz="4" w:space="0" w:color="auto"/>
              <w:bottom w:val="single" w:sz="4" w:space="0" w:color="auto"/>
              <w:right w:val="nil"/>
            </w:tcBorders>
            <w:tcMar>
              <w:right w:w="0" w:type="dxa"/>
            </w:tcMar>
          </w:tcPr>
          <w:p w:rsidR="007F3A29" w:rsidRDefault="007F3A29">
            <w:pPr>
              <w:pStyle w:val="Normal"/>
              <w:rPr>
                <w:sz w:val="20"/>
                <w:szCs w:val="20"/>
              </w:rPr>
            </w:pPr>
          </w:p>
        </w:tc>
      </w:tr>
      <w:tr w:rsidR="007F3A29">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Zachowanie relacji z art. 243</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7F3A29" w:rsidRDefault="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3210" w:type="dxa"/>
            <w:gridSpan w:val="3"/>
            <w:vMerge/>
            <w:tcBorders>
              <w:top w:val="nil"/>
              <w:left w:val="single" w:sz="4" w:space="0" w:color="auto"/>
              <w:bottom w:val="nil"/>
              <w:right w:val="nil"/>
            </w:tcBorders>
            <w:tcMar>
              <w:right w:w="0" w:type="dxa"/>
            </w:tcMar>
            <w:vAlign w:val="center"/>
          </w:tcPr>
          <w:p w:rsidR="007F3A29" w:rsidRDefault="007F3A29">
            <w:pPr>
              <w:pStyle w:val="Normal"/>
              <w:rPr>
                <w:sz w:val="20"/>
                <w:szCs w:val="20"/>
              </w:rPr>
            </w:pPr>
          </w:p>
        </w:tc>
      </w:tr>
    </w:tbl>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7F3A29" w:rsidRDefault="007F3A29" w:rsidP="007F3A2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rFonts w:ascii="Times New Roman" w:hAnsi="Times New Roman" w:cs="Times New Roman"/>
          <w:sz w:val="16"/>
          <w:szCs w:val="16"/>
        </w:rPr>
      </w:pPr>
    </w:p>
    <w:p w:rsidR="00FC1147" w:rsidRDefault="00FC1147"/>
    <w:sectPr w:rsidR="00FC1147" w:rsidSect="001360D0">
      <w:pgSz w:w="12240" w:h="15840"/>
      <w:pgMar w:top="1417" w:right="1417" w:bottom="1417" w:left="1417"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A29"/>
    <w:rsid w:val="007F3A29"/>
    <w:rsid w:val="00FC11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rsid w:val="007F3A29"/>
    <w:pPr>
      <w:widowControl w:val="0"/>
      <w:autoSpaceDE w:val="0"/>
      <w:autoSpaceDN w:val="0"/>
      <w:adjustRightInd w:val="0"/>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7F3A2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F3A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rsid w:val="007F3A29"/>
    <w:pPr>
      <w:widowControl w:val="0"/>
      <w:autoSpaceDE w:val="0"/>
      <w:autoSpaceDN w:val="0"/>
      <w:adjustRightInd w:val="0"/>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7F3A2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F3A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7.wmf"/><Relationship Id="rId5" Type="http://schemas.openxmlformats.org/officeDocument/2006/relationships/image" Target="media/image1.wmf"/><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1951</Words>
  <Characters>11706</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FK</dc:creator>
  <cp:lastModifiedBy>FK</cp:lastModifiedBy>
  <cp:revision>1</cp:revision>
  <dcterms:created xsi:type="dcterms:W3CDTF">2016-01-08T08:10:00Z</dcterms:created>
  <dcterms:modified xsi:type="dcterms:W3CDTF">2016-01-08T08:10:00Z</dcterms:modified>
</cp:coreProperties>
</file>